
<file path=[Content_Types].xml><?xml version="1.0" encoding="utf-8"?>
<Types xmlns="http://schemas.openxmlformats.org/package/2006/content-types">
  <Default Extension="xml" ContentType="application/xml"/>
  <Default Extension="svg" ContentType="image/svg+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ustom.xml" ContentType="application/vnd.openxmlformats-officedocument.custom-properties+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sdt>
      <w:sdtPr>
        <w15:appearance w15:val="boundingBox"/>
        <w:docPartObj>
          <w:docPartGallery w:val="Table of Contents"/>
          <w:docPartUnique w:val="true"/>
        </w:docPartObj>
        <w:rPr/>
      </w:sdtPr>
      <w:sdtContent>
        <w:p>
          <w:pPr>
            <w:pStyle w:val="1028"/>
            <w:pBdr/>
            <w:spacing/>
            <w:ind/>
            <w:rPr/>
          </w:pPr>
          <w:r>
            <w:t xml:space="preserve">Table of Contents</w:t>
          </w:r>
          <w:r/>
        </w:p>
        <w:p w14:paraId="0AC53572">
          <w:pPr>
            <w:pStyle w:val="1018"/>
            <w:pBdr/>
            <w:tabs>
              <w:tab w:val="right" w:leader="dot" w:pos="10466"/>
            </w:tabs>
            <w:spacing/>
            <w:ind/>
            <w:rPr/>
          </w:pPr>
          <w:r>
            <w:fldChar w:fldCharType="begin"/>
            <w:instrText xml:space="preserve">TOC \o "1-2" \h \z \u</w:instrText>
            <w:fldChar w:fldCharType="separate"/>
          </w:r>
          <w:hyperlink w:tooltip="#_Toc1" w:anchor="_Toc1" w:history="1">
            <w:r>
              <w:rPr>
                <w:rStyle w:val="1016"/>
              </w:rPr>
            </w:r>
            <w:r>
              <w:rPr>
                <w:rStyle w:val="1016"/>
              </w:rPr>
              <w:t xml:space="preserve">Préambule</w:t>
            </w:r>
            <w:r>
              <w:rPr>
                <w:rStyle w:val="1016"/>
              </w:rPr>
            </w:r>
            <w:r>
              <w:tab/>
            </w:r>
            <w:r>
              <w:fldChar w:fldCharType="begin"/>
              <w:instrText xml:space="preserve">PAGEREF _Toc1 \h</w:instrText>
              <w:fldChar w:fldCharType="separate"/>
              <w:t xml:space="preserve">1</w:t>
              <w:fldChar w:fldCharType="end"/>
            </w:r>
          </w:hyperlink>
          <w:r/>
          <w:r/>
        </w:p>
        <w:p w14:paraId="126AE88B">
          <w:pPr>
            <w:pStyle w:val="1018"/>
            <w:pBdr/>
            <w:tabs>
              <w:tab w:val="right" w:leader="dot" w:pos="10466"/>
            </w:tabs>
            <w:spacing/>
            <w:ind/>
            <w:rPr/>
          </w:pPr>
          <w:r/>
          <w:hyperlink w:tooltip="#_Toc2" w:anchor="_Toc2" w:history="1">
            <w:r>
              <w:rPr>
                <w:rStyle w:val="1016"/>
              </w:rPr>
            </w:r>
            <w:r>
              <w:rPr>
                <w:rStyle w:val="1016"/>
              </w:rPr>
              <w:t xml:space="preserve">Identification des parties</w:t>
            </w:r>
            <w:r>
              <w:rPr>
                <w:rStyle w:val="1016"/>
              </w:rPr>
            </w:r>
            <w:r>
              <w:tab/>
            </w:r>
            <w:r>
              <w:fldChar w:fldCharType="begin"/>
              <w:instrText xml:space="preserve">PAGEREF _Toc2 \h</w:instrText>
              <w:fldChar w:fldCharType="separate"/>
              <w:t xml:space="preserve">1</w:t>
              <w:fldChar w:fldCharType="end"/>
            </w:r>
          </w:hyperlink>
          <w:r/>
          <w:r/>
        </w:p>
        <w:p w14:paraId="0A760525">
          <w:pPr>
            <w:pStyle w:val="1019"/>
            <w:pBdr/>
            <w:tabs>
              <w:tab w:val="right" w:leader="dot" w:pos="10466"/>
            </w:tabs>
            <w:spacing/>
            <w:ind/>
            <w:rPr/>
          </w:pPr>
          <w:r/>
          <w:hyperlink w:tooltip="#_Toc3" w:anchor="_Toc3" w:history="1">
            <w:r>
              <w:rPr>
                <w:rStyle w:val="1016"/>
              </w:rPr>
            </w:r>
            <w:r>
              <w:rPr>
                <w:rStyle w:val="1016"/>
              </w:rPr>
              <w:t xml:space="preserve">Le Responsable de traitement</w:t>
            </w:r>
            <w:r>
              <w:rPr>
                <w:rStyle w:val="1016"/>
              </w:rPr>
            </w:r>
            <w:r>
              <w:tab/>
            </w:r>
            <w:r>
              <w:fldChar w:fldCharType="begin"/>
              <w:instrText xml:space="preserve">PAGEREF _Toc3 \h</w:instrText>
              <w:fldChar w:fldCharType="separate"/>
              <w:t xml:space="preserve">1</w:t>
              <w:fldChar w:fldCharType="end"/>
            </w:r>
          </w:hyperlink>
          <w:r/>
          <w:r/>
        </w:p>
        <w:p w14:paraId="5B7DFC86">
          <w:pPr>
            <w:pStyle w:val="1019"/>
            <w:pBdr/>
            <w:tabs>
              <w:tab w:val="right" w:leader="dot" w:pos="10466"/>
            </w:tabs>
            <w:spacing/>
            <w:ind/>
            <w:rPr/>
          </w:pPr>
          <w:r/>
          <w:hyperlink w:tooltip="#_Toc4" w:anchor="_Toc4" w:history="1">
            <w:r>
              <w:rPr>
                <w:rStyle w:val="1016"/>
              </w:rPr>
            </w:r>
            <w:r>
              <w:rPr>
                <w:rStyle w:val="1016"/>
              </w:rPr>
              <w:t xml:space="preserve">Le Sous-traitant</w:t>
            </w:r>
            <w:r>
              <w:rPr>
                <w:rStyle w:val="1016"/>
              </w:rPr>
            </w:r>
            <w:r>
              <w:tab/>
            </w:r>
            <w:r>
              <w:fldChar w:fldCharType="begin"/>
              <w:instrText xml:space="preserve">PAGEREF _Toc4 \h</w:instrText>
              <w:fldChar w:fldCharType="separate"/>
              <w:t xml:space="preserve">2</w:t>
              <w:fldChar w:fldCharType="end"/>
            </w:r>
          </w:hyperlink>
          <w:r/>
          <w:r/>
        </w:p>
        <w:p w14:paraId="5C42631A">
          <w:pPr>
            <w:pStyle w:val="1018"/>
            <w:pBdr/>
            <w:tabs>
              <w:tab w:val="right" w:leader="dot" w:pos="10466"/>
            </w:tabs>
            <w:spacing/>
            <w:ind/>
            <w:rPr/>
          </w:pPr>
          <w:r/>
          <w:hyperlink w:tooltip="#_Toc5" w:anchor="_Toc5" w:history="1">
            <w:r>
              <w:rPr>
                <w:rStyle w:val="1016"/>
              </w:rPr>
            </w:r>
            <w:r>
              <w:rPr>
                <w:rStyle w:val="1016"/>
              </w:rPr>
              <w:t xml:space="preserve">Article 1. Définitions</w:t>
            </w:r>
            <w:r>
              <w:rPr>
                <w:rStyle w:val="1016"/>
              </w:rPr>
            </w:r>
            <w:r>
              <w:tab/>
            </w:r>
            <w:r>
              <w:fldChar w:fldCharType="begin"/>
              <w:instrText xml:space="preserve">PAGEREF _Toc5 \h</w:instrText>
              <w:fldChar w:fldCharType="separate"/>
              <w:t xml:space="preserve">2</w:t>
              <w:fldChar w:fldCharType="end"/>
            </w:r>
          </w:hyperlink>
          <w:r/>
          <w:r/>
        </w:p>
        <w:p w14:paraId="3A75327A">
          <w:pPr>
            <w:pStyle w:val="1018"/>
            <w:pBdr/>
            <w:tabs>
              <w:tab w:val="right" w:leader="dot" w:pos="10466"/>
            </w:tabs>
            <w:spacing/>
            <w:ind/>
            <w:rPr/>
          </w:pPr>
          <w:r/>
          <w:hyperlink w:tooltip="#_Toc6" w:anchor="_Toc6" w:history="1">
            <w:r>
              <w:rPr>
                <w:rStyle w:val="1016"/>
              </w:rPr>
            </w:r>
            <w:r>
              <w:rPr>
                <w:rStyle w:val="1016"/>
              </w:rPr>
              <w:t xml:space="preserve">Article 2. Objet et finalité du contrat</w:t>
            </w:r>
            <w:r>
              <w:rPr>
                <w:rStyle w:val="1016"/>
              </w:rPr>
            </w:r>
            <w:r>
              <w:tab/>
            </w:r>
            <w:r>
              <w:fldChar w:fldCharType="begin"/>
              <w:instrText xml:space="preserve">PAGEREF _Toc6 \h</w:instrText>
              <w:fldChar w:fldCharType="separate"/>
              <w:t xml:space="preserve">3</w:t>
              <w:fldChar w:fldCharType="end"/>
            </w:r>
          </w:hyperlink>
          <w:r/>
          <w:r/>
        </w:p>
        <w:p w14:paraId="7835453C">
          <w:pPr>
            <w:pStyle w:val="1018"/>
            <w:pBdr/>
            <w:tabs>
              <w:tab w:val="right" w:leader="dot" w:pos="10466"/>
            </w:tabs>
            <w:spacing/>
            <w:ind/>
            <w:rPr/>
          </w:pPr>
          <w:r/>
          <w:hyperlink w:tooltip="#_Toc7" w:anchor="_Toc7" w:history="1">
            <w:r>
              <w:rPr>
                <w:rStyle w:val="1016"/>
              </w:rPr>
            </w:r>
            <w:r>
              <w:rPr>
                <w:rStyle w:val="1016"/>
              </w:rPr>
              <w:t xml:space="preserve">Article 3. Durée</w:t>
            </w:r>
            <w:r>
              <w:rPr>
                <w:rStyle w:val="1016"/>
              </w:rPr>
            </w:r>
            <w:r>
              <w:tab/>
            </w:r>
            <w:r>
              <w:fldChar w:fldCharType="begin"/>
              <w:instrText xml:space="preserve">PAGEREF _Toc7 \h</w:instrText>
              <w:fldChar w:fldCharType="separate"/>
              <w:t xml:space="preserve">3</w:t>
              <w:fldChar w:fldCharType="end"/>
            </w:r>
          </w:hyperlink>
          <w:r/>
          <w:r/>
        </w:p>
        <w:p w14:paraId="38AE69F5">
          <w:pPr>
            <w:pStyle w:val="1018"/>
            <w:pBdr/>
            <w:tabs>
              <w:tab w:val="right" w:leader="dot" w:pos="10466"/>
            </w:tabs>
            <w:spacing/>
            <w:ind/>
            <w:rPr/>
          </w:pPr>
          <w:r/>
          <w:hyperlink w:tooltip="#_Toc8" w:anchor="_Toc8" w:history="1">
            <w:r>
              <w:rPr>
                <w:rStyle w:val="1016"/>
              </w:rPr>
            </w:r>
            <w:r>
              <w:rPr>
                <w:rStyle w:val="1016"/>
              </w:rPr>
              <w:t xml:space="preserve">Article 4. Description du traitement</w:t>
            </w:r>
            <w:r>
              <w:rPr>
                <w:rStyle w:val="1016"/>
              </w:rPr>
            </w:r>
            <w:r>
              <w:tab/>
            </w:r>
            <w:r>
              <w:fldChar w:fldCharType="begin"/>
              <w:instrText xml:space="preserve">PAGEREF _Toc8 \h</w:instrText>
              <w:fldChar w:fldCharType="separate"/>
              <w:t xml:space="preserve">4</w:t>
              <w:fldChar w:fldCharType="end"/>
            </w:r>
          </w:hyperlink>
          <w:r/>
          <w:r/>
        </w:p>
        <w:p w14:paraId="227173C5">
          <w:pPr>
            <w:pStyle w:val="1018"/>
            <w:pBdr/>
            <w:tabs>
              <w:tab w:val="right" w:leader="dot" w:pos="10466"/>
            </w:tabs>
            <w:spacing/>
            <w:ind/>
            <w:rPr/>
          </w:pPr>
          <w:r/>
          <w:hyperlink w:tooltip="#_Toc9" w:anchor="_Toc9" w:history="1">
            <w:r>
              <w:rPr>
                <w:rStyle w:val="1016"/>
              </w:rPr>
            </w:r>
            <w:r>
              <w:rPr>
                <w:rStyle w:val="1016"/>
              </w:rPr>
              <w:t xml:space="preserve">Article 5. Obligations du Sous-traitant</w:t>
            </w:r>
            <w:r>
              <w:rPr>
                <w:rStyle w:val="1016"/>
              </w:rPr>
            </w:r>
            <w:r>
              <w:tab/>
            </w:r>
            <w:r>
              <w:fldChar w:fldCharType="begin"/>
              <w:instrText xml:space="preserve">PAGEREF _Toc9 \h</w:instrText>
              <w:fldChar w:fldCharType="separate"/>
              <w:t xml:space="preserve">4</w:t>
              <w:fldChar w:fldCharType="end"/>
            </w:r>
          </w:hyperlink>
          <w:r/>
          <w:r/>
        </w:p>
        <w:p w14:paraId="1B966C02">
          <w:pPr>
            <w:pStyle w:val="1019"/>
            <w:pBdr/>
            <w:tabs>
              <w:tab w:val="right" w:leader="dot" w:pos="10466"/>
            </w:tabs>
            <w:spacing/>
            <w:ind/>
            <w:rPr/>
          </w:pPr>
          <w:r/>
          <w:hyperlink w:tooltip="#_Toc10" w:anchor="_Toc10" w:history="1">
            <w:r>
              <w:rPr>
                <w:rStyle w:val="1016"/>
              </w:rPr>
            </w:r>
            <w:r>
              <w:rPr>
                <w:rStyle w:val="1016"/>
              </w:rPr>
              <w:t xml:space="preserve">5.1 Traiter les données uniquement pour les finalités convenues</w:t>
            </w:r>
            <w:r>
              <w:rPr>
                <w:rStyle w:val="1016"/>
              </w:rPr>
            </w:r>
            <w:r>
              <w:tab/>
            </w:r>
            <w:r>
              <w:fldChar w:fldCharType="begin"/>
              <w:instrText xml:space="preserve">PAGEREF _Toc10 \h</w:instrText>
              <w:fldChar w:fldCharType="separate"/>
              <w:t xml:space="preserve">4</w:t>
              <w:fldChar w:fldCharType="end"/>
            </w:r>
          </w:hyperlink>
          <w:r/>
          <w:r/>
        </w:p>
        <w:p w14:paraId="2D9A4E28">
          <w:pPr>
            <w:pStyle w:val="1019"/>
            <w:pBdr/>
            <w:tabs>
              <w:tab w:val="right" w:leader="dot" w:pos="10466"/>
            </w:tabs>
            <w:spacing/>
            <w:ind/>
            <w:rPr/>
          </w:pPr>
          <w:r/>
          <w:hyperlink w:tooltip="#_Toc11" w:anchor="_Toc11" w:history="1">
            <w:r>
              <w:rPr>
                <w:rStyle w:val="1016"/>
              </w:rPr>
            </w:r>
            <w:r>
              <w:rPr>
                <w:rStyle w:val="1016"/>
              </w:rPr>
              <w:t xml:space="preserve">5.2 Garantir la confidentialité</w:t>
            </w:r>
            <w:r>
              <w:rPr>
                <w:rStyle w:val="1016"/>
              </w:rPr>
            </w:r>
            <w:r>
              <w:tab/>
            </w:r>
            <w:r>
              <w:fldChar w:fldCharType="begin"/>
              <w:instrText xml:space="preserve">PAGEREF _Toc11 \h</w:instrText>
              <w:fldChar w:fldCharType="separate"/>
              <w:t xml:space="preserve">4</w:t>
              <w:fldChar w:fldCharType="end"/>
            </w:r>
          </w:hyperlink>
          <w:r/>
          <w:r/>
        </w:p>
        <w:p w14:paraId="02EFC769">
          <w:pPr>
            <w:pStyle w:val="1019"/>
            <w:pBdr/>
            <w:tabs>
              <w:tab w:val="right" w:leader="dot" w:pos="10466"/>
            </w:tabs>
            <w:spacing/>
            <w:ind/>
            <w:rPr/>
          </w:pPr>
          <w:r/>
          <w:hyperlink w:tooltip="#_Toc12" w:anchor="_Toc12" w:history="1">
            <w:r>
              <w:rPr>
                <w:rStyle w:val="1016"/>
              </w:rPr>
            </w:r>
            <w:r>
              <w:rPr>
                <w:rStyle w:val="1016"/>
              </w:rPr>
              <w:t xml:space="preserve">5.3 Mettre en œuvre les mesures de sécurité</w:t>
            </w:r>
            <w:r>
              <w:rPr>
                <w:rStyle w:val="1016"/>
              </w:rPr>
            </w:r>
            <w:r>
              <w:tab/>
            </w:r>
            <w:r>
              <w:fldChar w:fldCharType="begin"/>
              <w:instrText xml:space="preserve">PAGEREF _Toc12 \h</w:instrText>
              <w:fldChar w:fldCharType="separate"/>
              <w:t xml:space="preserve">5</w:t>
              <w:fldChar w:fldCharType="end"/>
            </w:r>
          </w:hyperlink>
          <w:r/>
          <w:r/>
        </w:p>
        <w:p w14:paraId="7774E3B0">
          <w:pPr>
            <w:pStyle w:val="1019"/>
            <w:pBdr/>
            <w:tabs>
              <w:tab w:val="right" w:leader="dot" w:pos="10466"/>
            </w:tabs>
            <w:spacing/>
            <w:ind/>
            <w:rPr/>
          </w:pPr>
          <w:r/>
          <w:hyperlink w:tooltip="#_Toc13" w:anchor="_Toc13" w:history="1">
            <w:r>
              <w:rPr>
                <w:rStyle w:val="1016"/>
              </w:rPr>
            </w:r>
            <w:r>
              <w:rPr>
                <w:rStyle w:val="1016"/>
              </w:rPr>
              <w:t xml:space="preserve">5.4 Encadrement de la sous-traitance ultérieure</w:t>
            </w:r>
            <w:r>
              <w:rPr>
                <w:rStyle w:val="1016"/>
              </w:rPr>
            </w:r>
            <w:r>
              <w:tab/>
            </w:r>
            <w:r>
              <w:fldChar w:fldCharType="begin"/>
              <w:instrText xml:space="preserve">PAGEREF _Toc13 \h</w:instrText>
              <w:fldChar w:fldCharType="separate"/>
              <w:t xml:space="preserve">5</w:t>
              <w:fldChar w:fldCharType="end"/>
            </w:r>
          </w:hyperlink>
          <w:r/>
          <w:r/>
        </w:p>
        <w:p w14:paraId="6A7ACB3F">
          <w:pPr>
            <w:pStyle w:val="1019"/>
            <w:pBdr/>
            <w:tabs>
              <w:tab w:val="right" w:leader="dot" w:pos="10466"/>
            </w:tabs>
            <w:spacing/>
            <w:ind/>
            <w:rPr/>
          </w:pPr>
          <w:r/>
          <w:hyperlink w:tooltip="#_Toc14" w:anchor="_Toc14" w:history="1">
            <w:r>
              <w:rPr>
                <w:rStyle w:val="1016"/>
              </w:rPr>
            </w:r>
            <w:r>
              <w:rPr>
                <w:rStyle w:val="1016"/>
              </w:rPr>
              <w:t xml:space="preserve">5.5 Respect des droits des personnes concernées</w:t>
            </w:r>
            <w:r>
              <w:rPr>
                <w:rStyle w:val="1016"/>
              </w:rPr>
            </w:r>
            <w:r>
              <w:tab/>
            </w:r>
            <w:r>
              <w:fldChar w:fldCharType="begin"/>
              <w:instrText xml:space="preserve">PAGEREF _Toc14 \h</w:instrText>
              <w:fldChar w:fldCharType="separate"/>
              <w:t xml:space="preserve">6</w:t>
              <w:fldChar w:fldCharType="end"/>
            </w:r>
          </w:hyperlink>
          <w:r/>
          <w:r/>
        </w:p>
        <w:p w14:paraId="40C49BBB">
          <w:pPr>
            <w:pStyle w:val="1019"/>
            <w:pBdr/>
            <w:tabs>
              <w:tab w:val="right" w:leader="dot" w:pos="10466"/>
            </w:tabs>
            <w:spacing/>
            <w:ind/>
            <w:rPr/>
          </w:pPr>
          <w:r/>
          <w:hyperlink w:tooltip="#_Toc15" w:anchor="_Toc15" w:history="1">
            <w:r>
              <w:rPr>
                <w:rStyle w:val="1016"/>
              </w:rPr>
            </w:r>
            <w:r>
              <w:rPr>
                <w:rStyle w:val="1016"/>
              </w:rPr>
              <w:t xml:space="preserve">5.6 Notification des violations de données</w:t>
            </w:r>
            <w:r>
              <w:rPr>
                <w:rStyle w:val="1016"/>
              </w:rPr>
            </w:r>
            <w:r>
              <w:tab/>
            </w:r>
            <w:r>
              <w:fldChar w:fldCharType="begin"/>
              <w:instrText xml:space="preserve">PAGEREF _Toc15 \h</w:instrText>
              <w:fldChar w:fldCharType="separate"/>
              <w:t xml:space="preserve">6</w:t>
              <w:fldChar w:fldCharType="end"/>
            </w:r>
          </w:hyperlink>
          <w:r/>
          <w:r/>
        </w:p>
        <w:p w14:paraId="43C344D2">
          <w:pPr>
            <w:pStyle w:val="1019"/>
            <w:pBdr/>
            <w:tabs>
              <w:tab w:val="right" w:leader="dot" w:pos="10466"/>
            </w:tabs>
            <w:spacing/>
            <w:ind/>
            <w:rPr/>
          </w:pPr>
          <w:r/>
          <w:hyperlink w:tooltip="#_Toc16" w:anchor="_Toc16" w:history="1">
            <w:r>
              <w:rPr>
                <w:rStyle w:val="1016"/>
              </w:rPr>
            </w:r>
            <w:r>
              <w:rPr>
                <w:rStyle w:val="1016"/>
              </w:rPr>
              <w:t xml:space="preserve">5.7 Assistance à l’analyse d’impact</w:t>
            </w:r>
            <w:r>
              <w:rPr>
                <w:rStyle w:val="1016"/>
              </w:rPr>
            </w:r>
            <w:r>
              <w:tab/>
            </w:r>
            <w:r>
              <w:fldChar w:fldCharType="begin"/>
              <w:instrText xml:space="preserve">PAGEREF _Toc16 \h</w:instrText>
              <w:fldChar w:fldCharType="separate"/>
              <w:t xml:space="preserve">6</w:t>
              <w:fldChar w:fldCharType="end"/>
            </w:r>
          </w:hyperlink>
          <w:r/>
          <w:r/>
        </w:p>
        <w:p w14:paraId="2129B444">
          <w:pPr>
            <w:pStyle w:val="1019"/>
            <w:pBdr/>
            <w:tabs>
              <w:tab w:val="right" w:leader="dot" w:pos="10466"/>
            </w:tabs>
            <w:spacing/>
            <w:ind/>
            <w:rPr/>
          </w:pPr>
          <w:r/>
          <w:hyperlink w:tooltip="#_Toc17" w:anchor="_Toc17" w:history="1">
            <w:r>
              <w:rPr>
                <w:rStyle w:val="1016"/>
              </w:rPr>
            </w:r>
            <w:r>
              <w:rPr>
                <w:rStyle w:val="1016"/>
              </w:rPr>
              <w:t xml:space="preserve">5.8 Tenue d’un registre des activités de traitement</w:t>
            </w:r>
            <w:r>
              <w:rPr>
                <w:rStyle w:val="1016"/>
              </w:rPr>
            </w:r>
            <w:r>
              <w:tab/>
            </w:r>
            <w:r>
              <w:fldChar w:fldCharType="begin"/>
              <w:instrText xml:space="preserve">PAGEREF _Toc17 \h</w:instrText>
              <w:fldChar w:fldCharType="separate"/>
              <w:t xml:space="preserve">7</w:t>
              <w:fldChar w:fldCharType="end"/>
            </w:r>
          </w:hyperlink>
          <w:r/>
          <w:r/>
        </w:p>
        <w:p w14:paraId="753B2E2F">
          <w:pPr>
            <w:pStyle w:val="1019"/>
            <w:pBdr/>
            <w:tabs>
              <w:tab w:val="right" w:leader="dot" w:pos="10466"/>
            </w:tabs>
            <w:spacing/>
            <w:ind/>
            <w:rPr/>
          </w:pPr>
          <w:r/>
          <w:hyperlink w:tooltip="#_Toc18" w:anchor="_Toc18" w:history="1">
            <w:r>
              <w:rPr>
                <w:rStyle w:val="1016"/>
              </w:rPr>
            </w:r>
            <w:r>
              <w:rPr>
                <w:rStyle w:val="1016"/>
              </w:rPr>
              <w:t xml:space="preserve">5.9 Localisation des données et transferts hors UE</w:t>
            </w:r>
            <w:r>
              <w:rPr>
                <w:rStyle w:val="1016"/>
              </w:rPr>
            </w:r>
            <w:r>
              <w:tab/>
            </w:r>
            <w:r>
              <w:fldChar w:fldCharType="begin"/>
              <w:instrText xml:space="preserve">PAGEREF _Toc18 \h</w:instrText>
              <w:fldChar w:fldCharType="separate"/>
              <w:t xml:space="preserve">7</w:t>
              <w:fldChar w:fldCharType="end"/>
            </w:r>
          </w:hyperlink>
          <w:r/>
          <w:r/>
        </w:p>
        <w:p w14:paraId="4920073A">
          <w:pPr>
            <w:pStyle w:val="1019"/>
            <w:pBdr/>
            <w:tabs>
              <w:tab w:val="right" w:leader="dot" w:pos="10466"/>
            </w:tabs>
            <w:spacing/>
            <w:ind/>
            <w:rPr/>
          </w:pPr>
          <w:r/>
          <w:hyperlink w:tooltip="#_Toc19" w:anchor="_Toc19" w:history="1">
            <w:r>
              <w:rPr>
                <w:rStyle w:val="1016"/>
              </w:rPr>
            </w:r>
            <w:r>
              <w:rPr>
                <w:rStyle w:val="1016"/>
              </w:rPr>
              <w:t xml:space="preserve">5.10 Documentation et audits</w:t>
            </w:r>
            <w:r>
              <w:rPr>
                <w:rStyle w:val="1016"/>
              </w:rPr>
            </w:r>
            <w:r>
              <w:tab/>
            </w:r>
            <w:r>
              <w:fldChar w:fldCharType="begin"/>
              <w:instrText xml:space="preserve">PAGEREF _Toc19 \h</w:instrText>
              <w:fldChar w:fldCharType="separate"/>
              <w:t xml:space="preserve">7</w:t>
              <w:fldChar w:fldCharType="end"/>
            </w:r>
          </w:hyperlink>
          <w:r/>
          <w:r/>
        </w:p>
        <w:p w14:paraId="58C2A5C9">
          <w:pPr>
            <w:pStyle w:val="1018"/>
            <w:pBdr/>
            <w:tabs>
              <w:tab w:val="right" w:leader="dot" w:pos="10466"/>
            </w:tabs>
            <w:spacing/>
            <w:ind/>
            <w:rPr/>
          </w:pPr>
          <w:r/>
          <w:hyperlink w:tooltip="#_Toc20" w:anchor="_Toc20" w:history="1">
            <w:r>
              <w:rPr>
                <w:rStyle w:val="1016"/>
              </w:rPr>
            </w:r>
            <w:r>
              <w:rPr>
                <w:rStyle w:val="1016"/>
              </w:rPr>
              <w:t xml:space="preserve">Article 6. Obligations du Responsable de traitement</w:t>
            </w:r>
            <w:r>
              <w:rPr>
                <w:rStyle w:val="1016"/>
              </w:rPr>
            </w:r>
            <w:r>
              <w:tab/>
            </w:r>
            <w:r>
              <w:fldChar w:fldCharType="begin"/>
              <w:instrText xml:space="preserve">PAGEREF _Toc20 \h</w:instrText>
              <w:fldChar w:fldCharType="separate"/>
              <w:t xml:space="preserve">7</w:t>
              <w:fldChar w:fldCharType="end"/>
            </w:r>
          </w:hyperlink>
          <w:r/>
          <w:r/>
        </w:p>
        <w:p w14:paraId="024A5627">
          <w:pPr>
            <w:pStyle w:val="1018"/>
            <w:pBdr/>
            <w:tabs>
              <w:tab w:val="right" w:leader="dot" w:pos="10466"/>
            </w:tabs>
            <w:spacing/>
            <w:ind/>
            <w:rPr/>
          </w:pPr>
          <w:r/>
          <w:hyperlink w:tooltip="#_Toc21" w:anchor="_Toc21" w:history="1">
            <w:r>
              <w:rPr>
                <w:rStyle w:val="1016"/>
              </w:rPr>
            </w:r>
            <w:r>
              <w:rPr>
                <w:rStyle w:val="1016"/>
              </w:rPr>
              <w:t xml:space="preserve">Article 7. Sort des données en fin de contrat</w:t>
            </w:r>
            <w:r>
              <w:rPr>
                <w:rStyle w:val="1016"/>
              </w:rPr>
            </w:r>
            <w:r>
              <w:tab/>
            </w:r>
            <w:r>
              <w:fldChar w:fldCharType="begin"/>
              <w:instrText xml:space="preserve">PAGEREF _Toc21 \h</w:instrText>
              <w:fldChar w:fldCharType="separate"/>
              <w:t xml:space="preserve">8</w:t>
              <w:fldChar w:fldCharType="end"/>
            </w:r>
          </w:hyperlink>
          <w:r/>
          <w:r/>
        </w:p>
        <w:p w14:paraId="5223D011">
          <w:pPr>
            <w:pStyle w:val="1018"/>
            <w:pBdr/>
            <w:tabs>
              <w:tab w:val="right" w:leader="dot" w:pos="10466"/>
            </w:tabs>
            <w:spacing/>
            <w:ind/>
            <w:rPr/>
          </w:pPr>
          <w:r/>
          <w:hyperlink w:tooltip="#_Toc22" w:anchor="_Toc22" w:history="1">
            <w:r>
              <w:rPr>
                <w:rStyle w:val="1016"/>
              </w:rPr>
            </w:r>
            <w:r>
              <w:rPr>
                <w:rStyle w:val="1016"/>
              </w:rPr>
              <w:t xml:space="preserve">Article 8. Responsabilité et litiges</w:t>
            </w:r>
            <w:r>
              <w:rPr>
                <w:rStyle w:val="1016"/>
              </w:rPr>
            </w:r>
            <w:r>
              <w:tab/>
            </w:r>
            <w:r>
              <w:fldChar w:fldCharType="begin"/>
              <w:instrText xml:space="preserve">PAGEREF _Toc22 \h</w:instrText>
              <w:fldChar w:fldCharType="separate"/>
              <w:t xml:space="preserve">9</w:t>
              <w:fldChar w:fldCharType="end"/>
            </w:r>
          </w:hyperlink>
          <w:r/>
          <w:r/>
        </w:p>
        <w:p w14:paraId="51146B02">
          <w:pPr>
            <w:pStyle w:val="1018"/>
            <w:pBdr/>
            <w:tabs>
              <w:tab w:val="right" w:leader="dot" w:pos="10466"/>
            </w:tabs>
            <w:spacing/>
            <w:ind/>
            <w:rPr/>
          </w:pPr>
          <w:r/>
          <w:hyperlink w:tooltip="#_Toc23" w:anchor="_Toc23" w:history="1">
            <w:r>
              <w:rPr>
                <w:rStyle w:val="1016"/>
              </w:rPr>
            </w:r>
            <w:r>
              <w:rPr>
                <w:rStyle w:val="1016"/>
              </w:rPr>
              <w:t xml:space="preserve">Article 9. Modification, loi applicable et signatures</w:t>
            </w:r>
            <w:r>
              <w:rPr>
                <w:rStyle w:val="1016"/>
              </w:rPr>
            </w:r>
            <w:r>
              <w:tab/>
            </w:r>
            <w:r>
              <w:fldChar w:fldCharType="begin"/>
              <w:instrText xml:space="preserve">PAGEREF _Toc23 \h</w:instrText>
              <w:fldChar w:fldCharType="separate"/>
              <w:t xml:space="preserve">9</w:t>
              <w:fldChar w:fldCharType="end"/>
            </w:r>
          </w:hyperlink>
          <w:r/>
          <w:r/>
        </w:p>
        <w:p w14:paraId="385FDB76">
          <w:pPr>
            <w:pStyle w:val="1018"/>
            <w:pBdr/>
            <w:tabs>
              <w:tab w:val="right" w:leader="dot" w:pos="10466"/>
            </w:tabs>
            <w:spacing/>
            <w:ind/>
            <w:rPr/>
          </w:pPr>
          <w:r/>
          <w:hyperlink w:tooltip="#_Toc24" w:anchor="_Toc24" w:history="1">
            <w:r>
              <w:rPr>
                <w:rStyle w:val="1016"/>
              </w:rPr>
            </w:r>
            <w:r>
              <w:rPr>
                <w:rStyle w:val="1016"/>
              </w:rPr>
              <w:t xml:space="preserve">Annexe 1. Description détaillée du traitement</w:t>
            </w:r>
            <w:r>
              <w:rPr>
                <w:rStyle w:val="1016"/>
              </w:rPr>
            </w:r>
            <w:r>
              <w:tab/>
            </w:r>
            <w:r>
              <w:fldChar w:fldCharType="begin"/>
              <w:instrText xml:space="preserve">PAGEREF _Toc24 \h</w:instrText>
              <w:fldChar w:fldCharType="separate"/>
              <w:t xml:space="preserve">10</w:t>
              <w:fldChar w:fldCharType="end"/>
            </w:r>
          </w:hyperlink>
          <w:r/>
          <w:r/>
        </w:p>
        <w:p w14:paraId="2120EC90">
          <w:pPr>
            <w:pStyle w:val="1019"/>
            <w:pBdr/>
            <w:tabs>
              <w:tab w:val="right" w:leader="dot" w:pos="10466"/>
            </w:tabs>
            <w:spacing/>
            <w:ind/>
            <w:rPr/>
          </w:pPr>
          <w:r/>
          <w:hyperlink w:tooltip="#_Toc25" w:anchor="_Toc25" w:history="1">
            <w:r>
              <w:rPr>
                <w:rStyle w:val="1016"/>
              </w:rPr>
            </w:r>
            <w:r>
              <w:rPr>
                <w:rStyle w:val="1016"/>
              </w:rPr>
              <w:t xml:space="preserve">Nature et finalité du traitement</w:t>
            </w:r>
            <w:r>
              <w:rPr>
                <w:rStyle w:val="1016"/>
              </w:rPr>
            </w:r>
            <w:r>
              <w:tab/>
            </w:r>
            <w:r>
              <w:fldChar w:fldCharType="begin"/>
              <w:instrText xml:space="preserve">PAGEREF _Toc25 \h</w:instrText>
              <w:fldChar w:fldCharType="separate"/>
              <w:t xml:space="preserve">10</w:t>
              <w:fldChar w:fldCharType="end"/>
            </w:r>
          </w:hyperlink>
          <w:r/>
          <w:r/>
        </w:p>
        <w:p w14:paraId="100D3B12">
          <w:pPr>
            <w:pStyle w:val="1019"/>
            <w:pBdr/>
            <w:tabs>
              <w:tab w:val="right" w:leader="dot" w:pos="10466"/>
            </w:tabs>
            <w:spacing/>
            <w:ind/>
            <w:rPr/>
          </w:pPr>
          <w:r/>
          <w:hyperlink w:tooltip="#_Toc26" w:anchor="_Toc26" w:history="1">
            <w:r>
              <w:rPr>
                <w:rStyle w:val="1016"/>
              </w:rPr>
            </w:r>
            <w:r>
              <w:rPr>
                <w:rStyle w:val="1016"/>
              </w:rPr>
              <w:t xml:space="preserve">Catégories de données traitées</w:t>
            </w:r>
            <w:r>
              <w:rPr>
                <w:rStyle w:val="1016"/>
              </w:rPr>
            </w:r>
            <w:r>
              <w:tab/>
            </w:r>
            <w:r>
              <w:fldChar w:fldCharType="begin"/>
              <w:instrText xml:space="preserve">PAGEREF _Toc26 \h</w:instrText>
              <w:fldChar w:fldCharType="separate"/>
              <w:t xml:space="preserve">10</w:t>
              <w:fldChar w:fldCharType="end"/>
            </w:r>
          </w:hyperlink>
          <w:r/>
          <w:r/>
        </w:p>
        <w:p w14:paraId="00B78C63">
          <w:pPr>
            <w:pStyle w:val="1019"/>
            <w:pBdr/>
            <w:tabs>
              <w:tab w:val="right" w:leader="dot" w:pos="10466"/>
            </w:tabs>
            <w:spacing/>
            <w:ind/>
            <w:rPr/>
          </w:pPr>
          <w:r/>
          <w:hyperlink w:tooltip="#_Toc27" w:anchor="_Toc27" w:history="1">
            <w:r>
              <w:rPr>
                <w:rStyle w:val="1016"/>
              </w:rPr>
            </w:r>
            <w:r>
              <w:rPr>
                <w:rStyle w:val="1016"/>
              </w:rPr>
              <w:t xml:space="preserve">Catégories de personnes concernées</w:t>
            </w:r>
            <w:r>
              <w:rPr>
                <w:rStyle w:val="1016"/>
              </w:rPr>
            </w:r>
            <w:r>
              <w:tab/>
            </w:r>
            <w:r>
              <w:fldChar w:fldCharType="begin"/>
              <w:instrText xml:space="preserve">PAGEREF _Toc27 \h</w:instrText>
              <w:fldChar w:fldCharType="separate"/>
              <w:t xml:space="preserve">10</w:t>
              <w:fldChar w:fldCharType="end"/>
            </w:r>
          </w:hyperlink>
          <w:r/>
          <w:r/>
        </w:p>
        <w:p w14:paraId="4CEE0EB8">
          <w:pPr>
            <w:pStyle w:val="1019"/>
            <w:pBdr/>
            <w:tabs>
              <w:tab w:val="right" w:leader="dot" w:pos="10466"/>
            </w:tabs>
            <w:spacing/>
            <w:ind/>
            <w:rPr/>
          </w:pPr>
          <w:r/>
          <w:hyperlink w:tooltip="#_Toc28" w:anchor="_Toc28" w:history="1">
            <w:r>
              <w:rPr>
                <w:rStyle w:val="1016"/>
              </w:rPr>
            </w:r>
            <w:r>
              <w:rPr>
                <w:rStyle w:val="1016"/>
              </w:rPr>
              <w:t xml:space="preserve">Durée de conservation</w:t>
            </w:r>
            <w:r>
              <w:rPr>
                <w:rStyle w:val="1016"/>
              </w:rPr>
            </w:r>
            <w:r>
              <w:tab/>
            </w:r>
            <w:r>
              <w:fldChar w:fldCharType="begin"/>
              <w:instrText xml:space="preserve">PAGEREF _Toc28 \h</w:instrText>
              <w:fldChar w:fldCharType="separate"/>
              <w:t xml:space="preserve">11</w:t>
              <w:fldChar w:fldCharType="end"/>
            </w:r>
          </w:hyperlink>
          <w:r/>
          <w:r/>
        </w:p>
        <w:p w14:paraId="2C8F2EC1">
          <w:pPr>
            <w:pStyle w:val="1018"/>
            <w:pBdr/>
            <w:tabs>
              <w:tab w:val="right" w:leader="dot" w:pos="10466"/>
            </w:tabs>
            <w:spacing/>
            <w:ind/>
            <w:rPr/>
          </w:pPr>
          <w:r/>
          <w:hyperlink w:tooltip="#_Toc29" w:anchor="_Toc29" w:history="1">
            <w:r>
              <w:rPr>
                <w:rStyle w:val="1016"/>
              </w:rPr>
            </w:r>
            <w:r>
              <w:rPr>
                <w:rStyle w:val="1016"/>
              </w:rPr>
              <w:t xml:space="preserve">Annexe 2. Liste des sous-traitants ultérieurs autorisés</w:t>
            </w:r>
            <w:r>
              <w:rPr>
                <w:rStyle w:val="1016"/>
              </w:rPr>
            </w:r>
            <w:r>
              <w:tab/>
            </w:r>
            <w:r>
              <w:fldChar w:fldCharType="begin"/>
              <w:instrText xml:space="preserve">PAGEREF _Toc29 \h</w:instrText>
              <w:fldChar w:fldCharType="separate"/>
              <w:t xml:space="preserve">11</w:t>
              <w:fldChar w:fldCharType="end"/>
            </w:r>
          </w:hyperlink>
          <w:r/>
          <w:r/>
        </w:p>
        <w:p w14:paraId="24249688">
          <w:pPr>
            <w:pStyle w:val="1018"/>
            <w:pBdr/>
            <w:tabs>
              <w:tab w:val="right" w:leader="dot" w:pos="10466"/>
            </w:tabs>
            <w:spacing/>
            <w:ind/>
            <w:rPr/>
          </w:pPr>
          <w:r/>
          <w:hyperlink w:tooltip="#_Toc30" w:anchor="_Toc30" w:history="1">
            <w:r>
              <w:rPr>
                <w:rStyle w:val="1016"/>
              </w:rPr>
            </w:r>
            <w:r>
              <w:rPr>
                <w:rStyle w:val="1016"/>
              </w:rPr>
              <w:t xml:space="preserve">Annexe 3. Mesures techniques et organisationnelles</w:t>
            </w:r>
            <w:r>
              <w:rPr>
                <w:rStyle w:val="1016"/>
              </w:rPr>
            </w:r>
            <w:r>
              <w:tab/>
            </w:r>
            <w:r>
              <w:fldChar w:fldCharType="begin"/>
              <w:instrText xml:space="preserve">PAGEREF _Toc30 \h</w:instrText>
              <w:fldChar w:fldCharType="separate"/>
              <w:t xml:space="preserve">12</w:t>
              <w:fldChar w:fldCharType="end"/>
            </w:r>
          </w:hyperlink>
          <w:r/>
          <w:r/>
        </w:p>
        <w:p w14:paraId="2301AF57">
          <w:pPr>
            <w:pStyle w:val="1019"/>
            <w:pBdr/>
            <w:tabs>
              <w:tab w:val="right" w:leader="dot" w:pos="10466"/>
            </w:tabs>
            <w:spacing/>
            <w:ind/>
            <w:rPr/>
          </w:pPr>
          <w:r/>
          <w:hyperlink w:tooltip="#_Toc31" w:anchor="_Toc31" w:history="1">
            <w:r>
              <w:rPr>
                <w:rStyle w:val="1016"/>
              </w:rPr>
            </w:r>
            <w:r>
              <w:rPr>
                <w:rStyle w:val="1016"/>
              </w:rPr>
              <w:t xml:space="preserve">Mesures techniques</w:t>
            </w:r>
            <w:r>
              <w:rPr>
                <w:rStyle w:val="1016"/>
              </w:rPr>
            </w:r>
            <w:r>
              <w:tab/>
            </w:r>
            <w:r>
              <w:fldChar w:fldCharType="begin"/>
              <w:instrText xml:space="preserve">PAGEREF _Toc31 \h</w:instrText>
              <w:fldChar w:fldCharType="separate"/>
              <w:t xml:space="preserve">12</w:t>
              <w:fldChar w:fldCharType="end"/>
            </w:r>
          </w:hyperlink>
          <w:r/>
          <w:r/>
        </w:p>
        <w:p w14:paraId="349F8367">
          <w:pPr>
            <w:pStyle w:val="1019"/>
            <w:pBdr/>
            <w:tabs>
              <w:tab w:val="right" w:leader="dot" w:pos="10466"/>
            </w:tabs>
            <w:spacing/>
            <w:ind/>
            <w:rPr/>
          </w:pPr>
          <w:r/>
          <w:hyperlink w:tooltip="#_Toc32" w:anchor="_Toc32" w:history="1">
            <w:r>
              <w:rPr>
                <w:rStyle w:val="1016"/>
              </w:rPr>
            </w:r>
            <w:r>
              <w:rPr>
                <w:rStyle w:val="1016"/>
              </w:rPr>
              <w:t xml:space="preserve">Mesures organisationnelles</w:t>
            </w:r>
            <w:r>
              <w:rPr>
                <w:rStyle w:val="1016"/>
              </w:rPr>
            </w:r>
            <w:r>
              <w:tab/>
            </w:r>
            <w:r>
              <w:fldChar w:fldCharType="begin"/>
              <w:instrText xml:space="preserve">PAGEREF _Toc32 \h</w:instrText>
              <w:fldChar w:fldCharType="separate"/>
              <w:t xml:space="preserve">13</w:t>
              <w:fldChar w:fldCharType="end"/>
            </w:r>
          </w:hyperlink>
          <w:r/>
          <w:r/>
        </w:p>
        <w:p w14:paraId="3A61095B">
          <w:pPr>
            <w:pStyle w:val="1019"/>
            <w:pBdr/>
            <w:tabs>
              <w:tab w:val="right" w:leader="dot" w:pos="10466"/>
            </w:tabs>
            <w:spacing/>
            <w:ind/>
            <w:rPr/>
          </w:pPr>
          <w:r/>
          <w:hyperlink w:tooltip="#_Toc33" w:anchor="_Toc33" w:history="1">
            <w:r>
              <w:rPr>
                <w:rStyle w:val="1016"/>
              </w:rPr>
            </w:r>
            <w:r>
              <w:rPr>
                <w:rStyle w:val="1016"/>
              </w:rPr>
              <w:t xml:space="preserve">Mesures spécifiques aux développements</w:t>
            </w:r>
            <w:r>
              <w:rPr>
                <w:rStyle w:val="1016"/>
              </w:rPr>
            </w:r>
            <w:r>
              <w:tab/>
            </w:r>
            <w:r>
              <w:fldChar w:fldCharType="begin"/>
              <w:instrText xml:space="preserve">PAGEREF _Toc33 \h</w:instrText>
              <w:fldChar w:fldCharType="separate"/>
              <w:t xml:space="preserve">13</w:t>
              <w:fldChar w:fldCharType="end"/>
            </w:r>
          </w:hyperlink>
          <w:r/>
          <w:r/>
        </w:p>
        <w:p w14:paraId="42DEA098">
          <w:pPr>
            <w:pStyle w:val="1018"/>
            <w:pBdr/>
            <w:tabs>
              <w:tab w:val="right" w:leader="dot" w:pos="10466"/>
            </w:tabs>
            <w:spacing/>
            <w:ind/>
            <w:rPr/>
          </w:pPr>
          <w:r/>
          <w:hyperlink w:tooltip="#_Toc34" w:anchor="_Toc34" w:history="1">
            <w:r>
              <w:rPr>
                <w:rStyle w:val="1016"/>
              </w:rPr>
            </w:r>
            <w:r>
              <w:rPr>
                <w:rStyle w:val="1016"/>
              </w:rPr>
              <w:t xml:space="preserve">Annexe 4. Transferts de données hors Union européenne</w:t>
            </w:r>
            <w:r>
              <w:rPr>
                <w:rStyle w:val="1016"/>
              </w:rPr>
            </w:r>
            <w:r>
              <w:tab/>
            </w:r>
            <w:r>
              <w:fldChar w:fldCharType="begin"/>
              <w:instrText xml:space="preserve">PAGEREF _Toc34 \h</w:instrText>
              <w:fldChar w:fldCharType="separate"/>
              <w:t xml:space="preserve">14</w:t>
              <w:fldChar w:fldCharType="end"/>
            </w:r>
          </w:hyperlink>
          <w:r/>
          <w:r/>
        </w:p>
        <w:p w14:paraId="155821DB">
          <w:pPr>
            <w:pBdr/>
            <w:spacing/>
            <w:ind/>
            <w:rPr/>
          </w:pPr>
          <w:r>
            <w:fldChar w:fldCharType="end"/>
          </w:r>
          <w:r/>
        </w:p>
      </w:sdtContent>
    </w:sdt>
    <w:p>
      <w:pPr>
        <w:pStyle w:val="971"/>
        <w:pBdr/>
        <w:spacing/>
        <w:ind/>
        <w:rPr/>
      </w:pPr>
      <w:r/>
      <w:bookmarkStart w:id="54" w:name="_Toc1"/>
      <w:r/>
      <w:bookmarkStart w:id="20" w:name="préambule"/>
      <w:r>
        <w:t xml:space="preserve">Préambule</w:t>
      </w:r>
      <w:bookmarkEnd w:id="54"/>
      <w:r/>
      <w:r/>
    </w:p>
    <w:p>
      <w:pPr>
        <w:pBdr/>
        <w:spacing/>
        <w:ind/>
        <w:rPr/>
      </w:pPr>
      <w:r>
        <w:t xml:space="preserve">Le présent</w:t>
      </w:r>
      <w:r>
        <w:t xml:space="preserve"> </w:t>
      </w:r>
      <w:r>
        <w:rPr>
          <w:b/>
          <w:bCs/>
        </w:rPr>
        <w:t xml:space="preserve">Accord de traitement de données</w:t>
      </w:r>
      <w:r>
        <w:t xml:space="preserve"> </w:t>
      </w:r>
      <w:r>
        <w:t xml:space="preserve">(ci-après le « DPA » ou « Accord ») encadre les obligations respectives du</w:t>
      </w:r>
      <w:r>
        <w:t xml:space="preserve"> </w:t>
      </w:r>
      <w:r>
        <w:rPr>
          <w:b/>
          <w:bCs/>
        </w:rPr>
        <w:t xml:space="preserve">Responsable de traitement</w:t>
      </w:r>
      <w:r>
        <w:t xml:space="preserve"> </w:t>
      </w:r>
      <w:r>
        <w:t xml:space="preserve">et du</w:t>
      </w:r>
      <w:r>
        <w:t xml:space="preserve"> </w:t>
      </w:r>
      <w:r>
        <w:rPr>
          <w:b/>
          <w:bCs/>
        </w:rPr>
        <w:t xml:space="preserve">Sous-traitant</w:t>
      </w:r>
      <w:r>
        <w:t xml:space="preserve"> </w:t>
      </w:r>
      <w:r>
        <w:t xml:space="preserve">en matière de protection des donné</w:t>
      </w:r>
      <w:r>
        <w:t xml:space="preserve">es à caractère personnel, conformément au Règlement (UE) 2016/679 du Parlement européen et du Conseil du 27 avril 2016 (ci-après le « RGPD ») et à la loi française n° 78-17 du 6 janvier 1978 modifiée relative à l’informatique, aux fichiers et aux libertés.</w:t>
      </w:r>
      <w:r/>
    </w:p>
    <w:p>
      <w:pPr>
        <w:pBdr/>
        <w:spacing/>
        <w:ind/>
        <w:rPr/>
      </w:pPr>
      <w:r>
        <w:t xml:space="preserve">Il complète et fait partie intégrante du contrat principal conclu entre les parties (ci-après le « Contrat Principal »).</w:t>
      </w:r>
      <w:bookmarkEnd w:id="20"/>
      <w:r/>
      <w:r/>
    </w:p>
    <w:p>
      <w:pPr>
        <w:pStyle w:val="971"/>
        <w:pBdr/>
        <w:spacing/>
        <w:ind/>
        <w:rPr/>
      </w:pPr>
      <w:r/>
      <w:bookmarkStart w:id="55" w:name="_Toc2"/>
      <w:r/>
      <w:bookmarkStart w:id="23" w:name="identification-des-parties"/>
      <w:r>
        <w:t xml:space="preserve">Identification des parties</w:t>
      </w:r>
      <w:bookmarkEnd w:id="55"/>
      <w:r/>
      <w:r/>
    </w:p>
    <w:p>
      <w:pPr>
        <w:pStyle w:val="972"/>
        <w:pBdr/>
        <w:spacing/>
        <w:ind/>
        <w:rPr/>
      </w:pPr>
      <w:r/>
      <w:bookmarkStart w:id="56" w:name="_Toc3"/>
      <w:r/>
      <w:bookmarkStart w:id="21" w:name="le-responsable-de-traitement"/>
      <w:r>
        <w:t xml:space="preserve">Le Responsable de traitement</w:t>
      </w:r>
      <w:bookmarkEnd w:id="56"/>
      <w:r/>
      <w:r/>
    </w:p>
    <w:p>
      <w:pPr>
        <w:pBdr/>
        <w:spacing/>
        <w:ind/>
        <w:rPr/>
      </w:pPr>
      <w:r>
        <w:t xml:space="preserve">Raison sociale :</w:t>
      </w:r>
      <w:r>
        <w:t xml:space="preserve"> </w:t>
      </w:r>
      <w:r>
        <w:rPr>
          <w:b/>
          <w:bCs/>
        </w:rPr>
        <w:t xml:space="preserve">[À COMPLÉTER]</w:t>
      </w:r>
      <w:r/>
    </w:p>
    <w:p>
      <w:pPr>
        <w:pBdr/>
        <w:spacing/>
        <w:ind/>
        <w:rPr/>
      </w:pPr>
      <w:r>
        <w:t xml:space="preserve">Forme juridique : [À COMPLÉTER]</w:t>
      </w:r>
      <w:r/>
    </w:p>
    <w:p>
      <w:pPr>
        <w:pBdr/>
        <w:spacing/>
        <w:ind/>
        <w:rPr/>
      </w:pPr>
      <w:r>
        <w:t xml:space="preserve">Capital social : [À COMPLÉTER]</w:t>
      </w:r>
      <w:r/>
    </w:p>
    <w:p>
      <w:pPr>
        <w:pBdr/>
        <w:spacing/>
        <w:ind/>
        <w:rPr/>
      </w:pPr>
      <w:r>
        <w:t xml:space="preserve">Numéro SIREN : [À COMPLÉTER]</w:t>
      </w:r>
      <w:r/>
    </w:p>
    <w:p>
      <w:pPr>
        <w:pBdr/>
        <w:spacing/>
        <w:ind/>
        <w:rPr/>
      </w:pPr>
      <w:r>
        <w:t xml:space="preserve">Siège social : [À COMPLÉTER]</w:t>
      </w:r>
      <w:r/>
    </w:p>
    <w:p>
      <w:pPr>
        <w:pBdr/>
        <w:spacing/>
        <w:ind/>
        <w:rPr/>
      </w:pPr>
      <w:r>
        <w:t xml:space="preserve">Représenté par : [À COMPLÉTER], en qualité de [À COMPLÉTER]</w:t>
      </w:r>
      <w:r/>
    </w:p>
    <w:p>
      <w:pPr>
        <w:pBdr/>
        <w:spacing/>
        <w:ind/>
        <w:rPr/>
      </w:pPr>
      <w:r>
        <w:t xml:space="preserve">Courriel de contact RGPD : [À COMPLÉTER]</w:t>
      </w:r>
      <w:r/>
    </w:p>
    <w:p>
      <w:pPr>
        <w:pBdr/>
        <w:spacing/>
        <w:ind/>
        <w:rPr/>
      </w:pPr>
      <w:r>
        <w:t xml:space="preserve">Ci-après dénommé «</w:t>
      </w:r>
      <w:r>
        <w:t xml:space="preserve"> </w:t>
      </w:r>
      <w:r>
        <w:rPr>
          <w:b/>
          <w:bCs/>
        </w:rPr>
        <w:t xml:space="preserve">le Responsable de traitement</w:t>
      </w:r>
      <w:r>
        <w:t xml:space="preserve"> </w:t>
      </w:r>
      <w:r>
        <w:t xml:space="preserve">».</w:t>
      </w:r>
      <w:bookmarkEnd w:id="21"/>
      <w:r/>
      <w:r/>
    </w:p>
    <w:p>
      <w:pPr>
        <w:pStyle w:val="972"/>
        <w:pBdr/>
        <w:spacing/>
        <w:ind/>
        <w:rPr/>
      </w:pPr>
      <w:r/>
      <w:bookmarkStart w:id="57" w:name="_Toc4"/>
      <w:r/>
      <w:bookmarkStart w:id="22" w:name="le-sous-traitant"/>
      <w:r>
        <w:t xml:space="preserve">Le Sous-traitant</w:t>
      </w:r>
      <w:bookmarkEnd w:id="57"/>
      <w:r/>
      <w:r/>
    </w:p>
    <w:p>
      <w:pPr>
        <w:pBdr/>
        <w:spacing/>
        <w:ind/>
        <w:rPr/>
      </w:pPr>
      <w:r>
        <w:t xml:space="preserve">Raison sociale :</w:t>
      </w:r>
      <w:r>
        <w:t xml:space="preserve"> </w:t>
      </w:r>
      <w:r>
        <w:rPr>
          <w:b/>
          <w:bCs/>
        </w:rPr>
        <w:t xml:space="preserve">ARDNTECH</w:t>
      </w:r>
      <w:r/>
    </w:p>
    <w:p>
      <w:pPr>
        <w:pBdr/>
        <w:spacing/>
        <w:ind/>
        <w:rPr/>
      </w:pPr>
      <w:r>
        <w:t xml:space="preserve">Forme juridique : Entreprise individuelle (micro-entreprise)</w:t>
      </w:r>
      <w:r/>
    </w:p>
    <w:p>
      <w:pPr>
        <w:pBdr/>
        <w:spacing/>
        <w:ind/>
        <w:rPr/>
      </w:pPr>
      <w:r>
        <w:t xml:space="preserve">Numéro SIREN : </w:t>
      </w:r>
      <w:r>
        <w:t xml:space="preserve">913 308 706</w:t>
      </w:r>
      <w:r/>
    </w:p>
    <w:p>
      <w:pPr>
        <w:pBdr/>
        <w:spacing/>
        <w:ind/>
        <w:rPr/>
      </w:pPr>
      <w:r>
        <w:t xml:space="preserve">Siège social : 24 rue de la Glau, 08700 Gespunsart, France</w:t>
      </w:r>
      <w:r/>
    </w:p>
    <w:p>
      <w:pPr>
        <w:pBdr/>
        <w:spacing/>
        <w:ind/>
        <w:rPr/>
      </w:pPr>
      <w:r>
        <w:t xml:space="preserve">Représenté par : Adrien CHAUMARAT, en qualité de fondateur</w:t>
      </w:r>
      <w:r/>
    </w:p>
    <w:p>
      <w:pPr>
        <w:pBdr/>
        <w:spacing/>
        <w:ind/>
        <w:rPr/>
      </w:pPr>
      <w:r>
        <w:t xml:space="preserve">Courriel de contact RGPD : contact@ardn.tech</w:t>
      </w:r>
      <w:r/>
    </w:p>
    <w:p>
      <w:pPr>
        <w:pBdr/>
        <w:spacing/>
        <w:ind/>
        <w:rPr/>
      </w:pPr>
      <w:r>
        <w:t xml:space="preserve">Ci-après dénommé «</w:t>
      </w:r>
      <w:r>
        <w:t xml:space="preserve"> </w:t>
      </w:r>
      <w:r>
        <w:rPr>
          <w:b/>
          <w:bCs/>
        </w:rPr>
        <w:t xml:space="preserve">le Sous-traitant</w:t>
      </w:r>
      <w:r>
        <w:t xml:space="preserve"> </w:t>
      </w:r>
      <w:r>
        <w:t xml:space="preserve">».</w:t>
      </w:r>
      <w:r/>
    </w:p>
    <w:p>
      <w:pPr>
        <w:pBdr/>
        <w:spacing/>
        <w:ind/>
        <w:rPr/>
      </w:pPr>
      <w:r>
        <w:t xml:space="preserve">Ensemble dénommés « les Parties ».</w:t>
      </w:r>
      <w:bookmarkEnd w:id="22"/>
      <w:r/>
      <w:bookmarkEnd w:id="23"/>
      <w:r/>
      <w:r/>
    </w:p>
    <w:p>
      <w:pPr>
        <w:pStyle w:val="971"/>
        <w:pBdr/>
        <w:spacing/>
        <w:ind/>
        <w:rPr/>
      </w:pPr>
      <w:r/>
      <w:bookmarkStart w:id="58" w:name="_Toc5"/>
      <w:r/>
      <w:bookmarkStart w:id="24" w:name="article-1.-définitions"/>
      <w:r>
        <w:t xml:space="preserve">Article 1. Définitions</w:t>
      </w:r>
      <w:bookmarkEnd w:id="58"/>
      <w:r/>
      <w:r/>
    </w:p>
    <w:p>
      <w:pPr>
        <w:pBdr/>
        <w:spacing/>
        <w:ind/>
        <w:rPr/>
      </w:pPr>
      <w:r>
        <w:t xml:space="preserve">Les termes utilisés dans le présent Accord ont la signification qui leur est donnée à l’article 4 du RGPD. Pour les besoins du présent Accord, les définitions suivantes s’appliquent :</w:t>
      </w:r>
      <w:r/>
    </w:p>
    <w:p>
      <w:pPr>
        <w:pBdr/>
        <w:spacing/>
        <w:ind/>
        <w:rPr/>
      </w:pPr>
      <w:r>
        <w:rPr>
          <w:b/>
          <w:bCs/>
        </w:rPr>
        <w:t xml:space="preserve">Donnée à caractère personnel</w:t>
      </w:r>
      <w:r>
        <w:t xml:space="preserve"> </w:t>
      </w:r>
      <w:r>
        <w:t xml:space="preserve">: toute information se rapportant à une personne physique identifiée ou identifiable.</w:t>
      </w:r>
      <w:r/>
    </w:p>
    <w:p>
      <w:pPr>
        <w:pBdr/>
        <w:spacing/>
        <w:ind/>
        <w:rPr/>
      </w:pPr>
      <w:r>
        <w:rPr>
          <w:b/>
          <w:bCs/>
        </w:rPr>
        <w:t xml:space="preserve">Traitement</w:t>
      </w:r>
      <w:r>
        <w:t xml:space="preserve"> </w:t>
      </w:r>
      <w:r>
        <w:t xml:space="preserve">: toute opération ou tout ensemble d’opérations effectuées sur des données à caractère personnel, automatisée ou non (collecte, enregistrement, organisation, conservation, modification, consultation, communication, effacement, etc.).</w:t>
      </w:r>
      <w:r/>
    </w:p>
    <w:p>
      <w:pPr>
        <w:pBdr/>
        <w:spacing/>
        <w:ind/>
        <w:rPr/>
      </w:pPr>
      <w:r>
        <w:rPr>
          <w:b/>
          <w:bCs/>
        </w:rPr>
        <w:t xml:space="preserve">Responsable de traitement</w:t>
      </w:r>
      <w:r>
        <w:t xml:space="preserve"> </w:t>
      </w:r>
      <w:r>
        <w:t xml:space="preserve">: la personne qui détermine les finalités et les moyens du traitement.</w:t>
      </w:r>
      <w:r/>
    </w:p>
    <w:p>
      <w:pPr>
        <w:pBdr/>
        <w:spacing/>
        <w:ind/>
        <w:rPr/>
      </w:pPr>
      <w:r>
        <w:rPr>
          <w:b/>
          <w:bCs/>
        </w:rPr>
        <w:t xml:space="preserve">Sous-traitant</w:t>
      </w:r>
      <w:r>
        <w:t xml:space="preserve"> </w:t>
      </w:r>
      <w:r>
        <w:t xml:space="preserve">: la personne qui traite des données à caractère personnel pour le compte du Responsable de traitement.</w:t>
      </w:r>
      <w:r/>
    </w:p>
    <w:p>
      <w:pPr>
        <w:pBdr/>
        <w:spacing/>
        <w:ind/>
        <w:rPr/>
      </w:pPr>
      <w:r>
        <w:rPr>
          <w:b/>
          <w:bCs/>
        </w:rPr>
        <w:t xml:space="preserve">Personne concernée</w:t>
      </w:r>
      <w:r>
        <w:t xml:space="preserve"> </w:t>
      </w:r>
      <w:r>
        <w:t xml:space="preserve">: la personne physique dont les données à caractère personnel sont traitées.</w:t>
      </w:r>
      <w:r/>
    </w:p>
    <w:p>
      <w:pPr>
        <w:pBdr/>
        <w:spacing/>
        <w:ind/>
        <w:rPr/>
      </w:pPr>
      <w:r>
        <w:rPr>
          <w:b/>
          <w:bCs/>
        </w:rPr>
        <w:t xml:space="preserve">Violation de données</w:t>
      </w:r>
      <w:r>
        <w:t xml:space="preserve"> </w:t>
      </w:r>
      <w:r>
        <w:t xml:space="preserve">: violation de la sécurité entraînant, de manière accidentelle ou illicite, la destruction, la perte, l’altération, la divulgation non autorisée ou l’accès non autorisé à des données.</w:t>
      </w:r>
      <w:r/>
    </w:p>
    <w:p>
      <w:pPr>
        <w:pBdr/>
        <w:spacing/>
        <w:ind/>
        <w:rPr/>
      </w:pPr>
      <w:r>
        <w:rPr>
          <w:b/>
          <w:bCs/>
        </w:rPr>
        <w:t xml:space="preserve">Sous-traitant ultérieur</w:t>
      </w:r>
      <w:r>
        <w:t xml:space="preserve"> </w:t>
      </w:r>
      <w:r>
        <w:t xml:space="preserve">: tout autre sous-traitant que le Sous-traitant principal recrute pour exécuter des activités de traitement spécifiques pour le compte du Responsable de traitement.</w:t>
      </w:r>
      <w:bookmarkEnd w:id="24"/>
      <w:r/>
      <w:r/>
    </w:p>
    <w:p>
      <w:pPr>
        <w:pStyle w:val="971"/>
        <w:pBdr/>
        <w:spacing/>
        <w:ind/>
        <w:rPr/>
      </w:pPr>
      <w:r/>
      <w:bookmarkStart w:id="59" w:name="_Toc6"/>
      <w:r/>
      <w:bookmarkStart w:id="25" w:name="article-2.-objet-et-finalité-du-contrat"/>
      <w:r>
        <w:t xml:space="preserve">Article 2. Objet et finalité du contrat</w:t>
      </w:r>
      <w:bookmarkEnd w:id="59"/>
      <w:r/>
      <w:r/>
    </w:p>
    <w:p>
      <w:pPr>
        <w:pBdr/>
        <w:spacing/>
        <w:ind/>
        <w:rPr/>
      </w:pPr>
      <w:r>
        <w:t xml:space="preserve">Le présent DPA a pour objet de définir les conditions dans lesquelles le Sous-traitant traite, pour le compte du Responsable de traitement, les données à caractère personnel nécessaires à l’exécution du Contrat Principal.</w:t>
      </w:r>
      <w:r/>
    </w:p>
    <w:p>
      <w:pPr>
        <w:pBdr/>
        <w:spacing/>
        <w:ind/>
        <w:rPr/>
      </w:pPr>
      <w:r>
        <w:t xml:space="preserve">Les prestations confiées au Sous-traitant comprennent notamment :</w:t>
      </w:r>
      <w:r/>
    </w:p>
    <w:p>
      <w:pPr>
        <w:numPr>
          <w:ilvl w:val="0"/>
          <w:numId w:val="4"/>
        </w:numPr>
        <w:pBdr/>
        <w:spacing/>
        <w:ind/>
        <w:rPr/>
      </w:pPr>
      <w:r>
        <w:t xml:space="preserve">la conception, le développement et la maintenance d’applications web métier sur-mesure ;</w:t>
      </w:r>
      <w:r/>
    </w:p>
    <w:p>
      <w:pPr>
        <w:numPr>
          <w:ilvl w:val="0"/>
          <w:numId w:val="4"/>
        </w:numPr>
        <w:pBdr/>
        <w:spacing/>
        <w:ind/>
        <w:rPr/>
      </w:pPr>
      <w:r>
        <w:t xml:space="preserve">l’hébergement de ces applications sur des infrastructures souveraines françaises ou européennes ;</w:t>
      </w:r>
      <w:r/>
    </w:p>
    <w:p>
      <w:pPr>
        <w:numPr>
          <w:ilvl w:val="0"/>
          <w:numId w:val="4"/>
        </w:numPr>
        <w:pBdr/>
        <w:spacing/>
        <w:ind/>
        <w:rPr/>
      </w:pPr>
      <w:r>
        <w:t xml:space="preserve">la sauvegarde, la restauration et la supervision technique des données ;</w:t>
      </w:r>
      <w:r/>
    </w:p>
    <w:p>
      <w:pPr>
        <w:numPr>
          <w:ilvl w:val="0"/>
          <w:numId w:val="4"/>
        </w:numPr>
        <w:pBdr/>
        <w:spacing/>
        <w:ind/>
        <w:rPr/>
      </w:pPr>
      <w:r>
        <w:t xml:space="preserve">l’assistance technique et le support utilisateur niveau 2.</w:t>
      </w:r>
      <w:r/>
    </w:p>
    <w:p>
      <w:pPr>
        <w:pBdr/>
        <w:spacing/>
        <w:ind/>
        <w:rPr/>
      </w:pPr>
      <w:r>
        <w:t xml:space="preserve">La finalité précise du traitement est détaillée à l’</w:t>
      </w:r>
      <w:r>
        <w:rPr>
          <w:b/>
          <w:bCs/>
        </w:rPr>
        <w:t xml:space="preserve">Annexe 1</w:t>
      </w:r>
      <w:r>
        <w:t xml:space="preserve"> </w:t>
      </w:r>
      <w:r>
        <w:t xml:space="preserve">du présent Accord.</w:t>
      </w:r>
      <w:bookmarkEnd w:id="25"/>
      <w:r/>
      <w:r/>
    </w:p>
    <w:p>
      <w:pPr>
        <w:pStyle w:val="971"/>
        <w:pBdr/>
        <w:spacing/>
        <w:ind/>
        <w:rPr/>
      </w:pPr>
      <w:r/>
      <w:bookmarkStart w:id="60" w:name="_Toc7"/>
      <w:r/>
      <w:bookmarkStart w:id="26" w:name="article-3.-durée"/>
      <w:r>
        <w:t xml:space="preserve">Article 3. Durée</w:t>
      </w:r>
      <w:bookmarkEnd w:id="60"/>
      <w:r/>
      <w:r/>
    </w:p>
    <w:p>
      <w:pPr>
        <w:pBdr/>
        <w:spacing/>
        <w:ind/>
        <w:rPr/>
      </w:pPr>
      <w:r>
        <w:t xml:space="preserve">Le présent Accord prend effet à la date de signature et reste applicable pour toute la durée d’exécution du Contrat Principal.</w:t>
      </w:r>
      <w:r/>
    </w:p>
    <w:p>
      <w:pPr>
        <w:pBdr/>
        <w:spacing/>
        <w:ind/>
        <w:rPr/>
      </w:pPr>
      <w:r>
        <w:t xml:space="preserve">Les obligations relatives à la confidentialité, à la sécurité et à la restitution ou destruction des données survivent à la fin du Contrat Principal, conformément aux articles 5 et 7 du présent DPA.</w:t>
      </w:r>
      <w:bookmarkEnd w:id="26"/>
      <w:r/>
      <w:r/>
    </w:p>
    <w:p>
      <w:pPr>
        <w:pStyle w:val="971"/>
        <w:pBdr/>
        <w:spacing/>
        <w:ind/>
        <w:rPr/>
      </w:pPr>
      <w:r/>
      <w:bookmarkStart w:id="61" w:name="_Toc8"/>
      <w:r/>
      <w:bookmarkStart w:id="27" w:name="article-4.-description-du-traitement"/>
      <w:r>
        <w:t xml:space="preserve">Article 4. Description du traitement</w:t>
      </w:r>
      <w:bookmarkEnd w:id="61"/>
      <w:r/>
      <w:r/>
    </w:p>
    <w:p>
      <w:pPr>
        <w:pBdr/>
        <w:spacing/>
        <w:ind/>
        <w:rPr/>
      </w:pPr>
      <w:r>
        <w:t xml:space="preserve">Les Parties conviennent que la description détaillée du traitement (nature, finalité, durée, catégories de données, catégories de personnes concernées) figure à l’</w:t>
      </w:r>
      <w:r>
        <w:rPr>
          <w:b/>
          <w:bCs/>
        </w:rPr>
        <w:t xml:space="preserve">Annexe 1</w:t>
      </w:r>
      <w:r>
        <w:t xml:space="preserve"> </w:t>
      </w:r>
      <w:r>
        <w:t xml:space="preserve">du présent Accord.</w:t>
      </w:r>
      <w:r/>
    </w:p>
    <w:p>
      <w:pPr>
        <w:pBdr/>
        <w:spacing/>
        <w:ind/>
        <w:rPr/>
      </w:pPr>
      <w:r>
        <w:t xml:space="preserve">L’Annexe 1 doit être complétée et mise à jour à chaque évolution significative du périmètre de traitement.</w:t>
      </w:r>
      <w:bookmarkEnd w:id="27"/>
      <w:r/>
      <w:r/>
    </w:p>
    <w:p>
      <w:pPr>
        <w:pStyle w:val="971"/>
        <w:pBdr/>
        <w:spacing/>
        <w:ind/>
        <w:rPr/>
      </w:pPr>
      <w:r/>
      <w:bookmarkStart w:id="62" w:name="_Toc9"/>
      <w:r/>
      <w:bookmarkStart w:id="38" w:name="article-5.-obligations-du-sous-traitant"/>
      <w:r>
        <w:t xml:space="preserve">Article 5. Obligations du Sous-traitant</w:t>
      </w:r>
      <w:bookmarkEnd w:id="62"/>
      <w:r/>
      <w:r/>
    </w:p>
    <w:p>
      <w:pPr>
        <w:pBdr/>
        <w:spacing/>
        <w:ind/>
        <w:rPr/>
      </w:pPr>
      <w:r>
        <w:t xml:space="preserve">Conformément à l’article 28 du RGPD, le Sous-traitant s’engage à :</w:t>
      </w:r>
      <w:r/>
    </w:p>
    <w:p>
      <w:pPr>
        <w:pStyle w:val="972"/>
        <w:pBdr/>
        <w:spacing/>
        <w:ind/>
        <w:rPr/>
      </w:pPr>
      <w:r/>
      <w:bookmarkStart w:id="63" w:name="_Toc10"/>
      <w:r/>
      <w:bookmarkStart w:id="28" w:name="X687e059711259029460f3a2a70abfe344cf9de3"/>
      <w:r>
        <w:t xml:space="preserve">5.1 Traiter les données uniquement pour les finalités convenues</w:t>
      </w:r>
      <w:bookmarkEnd w:id="63"/>
      <w:r/>
      <w:r/>
    </w:p>
    <w:p>
      <w:pPr>
        <w:pBdr/>
        <w:spacing/>
        <w:ind/>
        <w:rPr/>
      </w:pPr>
      <w:r>
        <w:t xml:space="preserve">Le Sous-trait</w:t>
      </w:r>
      <w:r>
        <w:t xml:space="preserve">ant ne traite les données à caractère personnel que sur instructions documentées du Responsable de traitement, y compris en ce qui concerne les transferts de données vers un pays tiers ou à une organisation internationale, sauf obligation légale contraire.</w:t>
      </w:r>
      <w:r/>
    </w:p>
    <w:p>
      <w:pPr>
        <w:pBdr/>
        <w:spacing/>
        <w:ind/>
        <w:rPr/>
      </w:pPr>
      <w:r>
        <w:t xml:space="preserve">Si le Sous-traitant considère q</w:t>
      </w:r>
      <w:r>
        <w:t xml:space="preserve">u’une instruction du Responsable de traitement constitue une violation du RGPD ou de toute autre disposition du droit de l’Union européenne ou du droit français en matière de protection des données, il en informe immédiatement le Responsable de traitement.</w:t>
      </w:r>
      <w:bookmarkEnd w:id="28"/>
      <w:r/>
      <w:r/>
    </w:p>
    <w:p>
      <w:pPr>
        <w:pStyle w:val="972"/>
        <w:pBdr/>
        <w:spacing/>
        <w:ind/>
        <w:rPr/>
      </w:pPr>
      <w:r/>
      <w:bookmarkStart w:id="64" w:name="_Toc11"/>
      <w:r/>
      <w:bookmarkStart w:id="29" w:name="garantir-la-confidentialité"/>
      <w:r>
        <w:t xml:space="preserve">5.2 Garantir la confidentialité</w:t>
      </w:r>
      <w:bookmarkEnd w:id="64"/>
      <w:r/>
      <w:r/>
    </w:p>
    <w:p>
      <w:pPr>
        <w:pBdr/>
        <w:spacing/>
        <w:ind/>
        <w:rPr/>
      </w:pPr>
      <w:r>
        <w:t xml:space="preserve">Le Sous-traitant veille à ce que les personnes autorisées à traiter les données à caractère personnel s’engagent à respecter la confidentialité ou soient soumises à une obligation légale appropriée de confidentialité.</w:t>
      </w:r>
      <w:bookmarkEnd w:id="29"/>
      <w:r/>
      <w:r/>
    </w:p>
    <w:p>
      <w:pPr>
        <w:pStyle w:val="972"/>
        <w:pBdr/>
        <w:spacing/>
        <w:ind/>
        <w:rPr/>
      </w:pPr>
      <w:r/>
      <w:bookmarkStart w:id="65" w:name="_Toc12"/>
      <w:r/>
      <w:bookmarkStart w:id="30" w:name="mettre-en-œuvre-les-mesures-de-sécurité"/>
      <w:r>
        <w:t xml:space="preserve">5.3 Mettre en œuvre les mesures de sécurité</w:t>
      </w:r>
      <w:bookmarkEnd w:id="65"/>
      <w:r/>
      <w:r/>
    </w:p>
    <w:p>
      <w:pPr>
        <w:pBdr/>
        <w:spacing/>
        <w:ind/>
        <w:rPr/>
      </w:pPr>
      <w:r>
        <w:t xml:space="preserve">Le Sous-traitant met en œuvre les mesures techniques et organisationnelles appropriées pour garantir un niveau de sécurité adapté au risque, notamment :</w:t>
      </w:r>
      <w:r/>
    </w:p>
    <w:p>
      <w:pPr>
        <w:numPr>
          <w:ilvl w:val="0"/>
          <w:numId w:val="5"/>
        </w:numPr>
        <w:pBdr/>
        <w:spacing/>
        <w:ind/>
        <w:rPr/>
      </w:pPr>
      <w:r>
        <w:t xml:space="preserve">chiffrement des données en transit (TLS 1.2) et au repos ;</w:t>
      </w:r>
      <w:r/>
    </w:p>
    <w:p>
      <w:pPr>
        <w:numPr>
          <w:ilvl w:val="0"/>
          <w:numId w:val="5"/>
        </w:numPr>
        <w:pBdr/>
        <w:spacing/>
        <w:ind/>
        <w:rPr/>
      </w:pPr>
      <w:r>
        <w:t xml:space="preserve">contrôle d’accès strict basé sur le principe du moindre privilège ;</w:t>
      </w:r>
      <w:r/>
    </w:p>
    <w:p>
      <w:pPr>
        <w:numPr>
          <w:ilvl w:val="0"/>
          <w:numId w:val="5"/>
        </w:numPr>
        <w:pBdr/>
        <w:spacing/>
        <w:ind/>
        <w:rPr/>
      </w:pPr>
      <w:r>
        <w:t xml:space="preserve">traçabilité des accès et des opérations sensibles ;</w:t>
      </w:r>
      <w:r/>
    </w:p>
    <w:p>
      <w:pPr>
        <w:numPr>
          <w:ilvl w:val="0"/>
          <w:numId w:val="5"/>
        </w:numPr>
        <w:pBdr/>
        <w:spacing/>
        <w:ind/>
        <w:rPr/>
      </w:pPr>
      <w:r>
        <w:t xml:space="preserve">sauvegardes quotidiennes chiffrées, testées et stockées sur infrastructure séparée ;</w:t>
      </w:r>
      <w:r/>
    </w:p>
    <w:p>
      <w:pPr>
        <w:numPr>
          <w:ilvl w:val="0"/>
          <w:numId w:val="5"/>
        </w:numPr>
        <w:pBdr/>
        <w:spacing/>
        <w:ind/>
        <w:rPr/>
      </w:pPr>
      <w:r>
        <w:t xml:space="preserve">supervision continue de l’infrastructure (monitoring 24/7) ;</w:t>
      </w:r>
      <w:r/>
    </w:p>
    <w:p>
      <w:pPr>
        <w:numPr>
          <w:ilvl w:val="0"/>
          <w:numId w:val="5"/>
        </w:numPr>
        <w:pBdr/>
        <w:spacing/>
        <w:ind/>
        <w:rPr/>
      </w:pPr>
      <w:r>
        <w:t xml:space="preserve">correctifs de sécurité appliqués selon les recommandations OWASP et ANSSI ;</w:t>
      </w:r>
      <w:r/>
    </w:p>
    <w:p>
      <w:pPr>
        <w:numPr>
          <w:ilvl w:val="0"/>
          <w:numId w:val="5"/>
        </w:numPr>
        <w:pBdr/>
        <w:spacing/>
        <w:ind/>
        <w:rPr/>
      </w:pPr>
      <w:r>
        <w:t xml:space="preserve">pare-feu applicatif et protection contre les attaques par déni de service ;</w:t>
      </w:r>
      <w:r/>
    </w:p>
    <w:p>
      <w:pPr>
        <w:numPr>
          <w:ilvl w:val="0"/>
          <w:numId w:val="5"/>
        </w:numPr>
        <w:pBdr/>
        <w:spacing/>
        <w:ind/>
        <w:rPr/>
      </w:pPr>
      <w:r>
        <w:t xml:space="preserve">procédure de gestion des vulnérabilités documentée.</w:t>
      </w:r>
      <w:r/>
    </w:p>
    <w:p>
      <w:pPr>
        <w:pBdr/>
        <w:spacing/>
        <w:ind/>
        <w:rPr/>
      </w:pPr>
      <w:r>
        <w:t xml:space="preserve">La liste détaillée des mesures techniques et organisationnelles figure à l’</w:t>
      </w:r>
      <w:r>
        <w:rPr>
          <w:b/>
          <w:bCs/>
        </w:rPr>
        <w:t xml:space="preserve">Annexe 3</w:t>
      </w:r>
      <w:r>
        <w:t xml:space="preserve">.</w:t>
      </w:r>
      <w:bookmarkEnd w:id="30"/>
      <w:r/>
      <w:r/>
    </w:p>
    <w:p>
      <w:pPr>
        <w:pStyle w:val="972"/>
        <w:pBdr/>
        <w:spacing/>
        <w:ind/>
        <w:rPr/>
      </w:pPr>
      <w:r/>
      <w:bookmarkStart w:id="66" w:name="_Toc13"/>
      <w:r/>
      <w:bookmarkStart w:id="31" w:name="X8f468a1c30daec2bf27450e448c9f987c5e0680"/>
      <w:r>
        <w:t xml:space="preserve">5.4 Encadrement de la sous-traitance ultérieure</w:t>
      </w:r>
      <w:bookmarkEnd w:id="66"/>
      <w:r/>
      <w:r/>
    </w:p>
    <w:p>
      <w:pPr>
        <w:pBdr/>
        <w:spacing/>
        <w:ind/>
        <w:rPr/>
      </w:pPr>
      <w:r>
        <w:t xml:space="preserve">Le Sous-traitant n’a pas recours à un autre sous-traitant (sous-traitant ultérieur) sans l’autorisation écrite préalable, spécifique ou générale, du Responsable de traitement.</w:t>
      </w:r>
      <w:r/>
    </w:p>
    <w:p>
      <w:pPr>
        <w:pBdr/>
        <w:spacing/>
        <w:ind/>
        <w:rPr/>
      </w:pPr>
      <w:r>
        <w:t xml:space="preserve">La liste des sous-traitants ultérieurs autorisés au jour de la signature du présent Accord figure à l’</w:t>
      </w:r>
      <w:r>
        <w:rPr>
          <w:b/>
          <w:bCs/>
        </w:rPr>
        <w:t xml:space="preserve">Annexe 2</w:t>
      </w:r>
      <w:r>
        <w:t xml:space="preserve">. Cette liste peut être modifiée par le Sous-traitant moyennant un préavis écrit de trente (30) jours adressé au Responsable de traitement, qui dispose d’un droit d’opposition motivé.</w:t>
      </w:r>
      <w:r/>
    </w:p>
    <w:p>
      <w:pPr>
        <w:pBdr/>
        <w:spacing/>
        <w:ind/>
        <w:rPr/>
      </w:pPr>
      <w:r>
        <w:t xml:space="preserve">Lorsqu’il fait appel à un autre sous-traitant pour mener </w:t>
      </w:r>
      <w:r>
        <w:t xml:space="preserve">des activités de traitement spécifiques pour le compte du Responsable de traitement, le Sous-traitant impose à cet autre sous-traitant les mêmes obligations en matière de protection des données que celles fixées dans le présent Accord, par voie de contrat.</w:t>
      </w:r>
      <w:bookmarkEnd w:id="31"/>
      <w:r/>
      <w:r/>
    </w:p>
    <w:p>
      <w:pPr>
        <w:pStyle w:val="972"/>
        <w:pBdr/>
        <w:spacing/>
        <w:ind/>
        <w:rPr/>
      </w:pPr>
      <w:r/>
      <w:bookmarkStart w:id="67" w:name="_Toc14"/>
      <w:r/>
      <w:bookmarkStart w:id="32" w:name="X7c4598a3188541a6d8ff18820de1d66c88a0064"/>
      <w:r>
        <w:t xml:space="preserve">5.5 Respect des droits des personnes concernées</w:t>
      </w:r>
      <w:bookmarkEnd w:id="67"/>
      <w:r/>
      <w:r/>
    </w:p>
    <w:p>
      <w:pPr>
        <w:pBdr/>
        <w:spacing/>
        <w:ind/>
        <w:rPr/>
      </w:pPr>
      <w:r>
        <w:t xml:space="preserve">Le Sous-traitant aide le Responsable de traitement, par des mesures techniques et organisationnell</w:t>
      </w:r>
      <w:r>
        <w:t xml:space="preserve">es appropriées, à s’acquitter de son obligation de donner suite aux demandes dont les personnes concernées le saisissent en vue d’exercer leurs droits (information, accès, rectification, effacement, opposition, limitation, portabilité, refus du profilage).</w:t>
      </w:r>
      <w:r/>
    </w:p>
    <w:p>
      <w:pPr>
        <w:pBdr/>
        <w:spacing/>
        <w:ind/>
        <w:rPr/>
      </w:pPr>
      <w:r>
        <w:t xml:space="preserve">Lorsque les personnes concernées exercent leurs droits directement auprès du Sous-traitant, ce dernier transmet la demande au Responsable de traitement dans un délai maximal de cinq (5) jours ouvrés à compter de sa réception.</w:t>
      </w:r>
      <w:bookmarkEnd w:id="32"/>
      <w:r/>
      <w:r/>
    </w:p>
    <w:p>
      <w:pPr>
        <w:pStyle w:val="972"/>
        <w:pBdr/>
        <w:spacing/>
        <w:ind/>
        <w:rPr/>
      </w:pPr>
      <w:r/>
      <w:bookmarkStart w:id="68" w:name="_Toc15"/>
      <w:r/>
      <w:bookmarkStart w:id="33" w:name="notification-des-violations-de-données"/>
      <w:r>
        <w:t xml:space="preserve">5.6 Notification des violations de données</w:t>
      </w:r>
      <w:bookmarkEnd w:id="68"/>
      <w:r/>
      <w:r/>
    </w:p>
    <w:p>
      <w:pPr>
        <w:pBdr/>
        <w:spacing/>
        <w:ind/>
        <w:rPr/>
      </w:pPr>
      <w:r>
        <w:t xml:space="preserve">Le Sous-traitant notifie au Responsable de traitement toute violation de données à caractère personnel dans les meilleurs délais et au plus tard dans les</w:t>
      </w:r>
      <w:r>
        <w:t xml:space="preserve"> </w:t>
      </w:r>
      <w:r>
        <w:rPr>
          <w:b/>
          <w:bCs/>
        </w:rPr>
        <w:t xml:space="preserve">soixante-douze (72) heures</w:t>
      </w:r>
      <w:r>
        <w:t xml:space="preserve"> </w:t>
      </w:r>
      <w:r>
        <w:t xml:space="preserve">suivant la prise de connaissance.</w:t>
      </w:r>
      <w:r/>
    </w:p>
    <w:p>
      <w:pPr>
        <w:pBdr/>
        <w:spacing/>
        <w:ind/>
        <w:rPr/>
      </w:pPr>
      <w:r>
        <w:t xml:space="preserve">La notification contient au minimum les informations suivantes :</w:t>
      </w:r>
      <w:r/>
    </w:p>
    <w:p>
      <w:pPr>
        <w:numPr>
          <w:ilvl w:val="0"/>
          <w:numId w:val="6"/>
        </w:numPr>
        <w:pBdr/>
        <w:spacing/>
        <w:ind/>
        <w:rPr/>
      </w:pPr>
      <w:r>
        <w:t xml:space="preserve">description de la nature de la violation, y compris, si possible, les catégories et le nombre approximatif de personnes concernées ;</w:t>
      </w:r>
      <w:r/>
    </w:p>
    <w:p>
      <w:pPr>
        <w:numPr>
          <w:ilvl w:val="0"/>
          <w:numId w:val="6"/>
        </w:numPr>
        <w:pBdr/>
        <w:spacing/>
        <w:ind/>
        <w:rPr/>
      </w:pPr>
      <w:r>
        <w:t xml:space="preserve">les conséquences probables de la violation ;</w:t>
      </w:r>
      <w:r/>
    </w:p>
    <w:p>
      <w:pPr>
        <w:numPr>
          <w:ilvl w:val="0"/>
          <w:numId w:val="6"/>
        </w:numPr>
        <w:pBdr/>
        <w:spacing/>
        <w:ind/>
        <w:rPr/>
      </w:pPr>
      <w:r>
        <w:t xml:space="preserve">les mesures prises ou envisagées pour atténuer les conséquences ;</w:t>
      </w:r>
      <w:r/>
    </w:p>
    <w:p>
      <w:pPr>
        <w:numPr>
          <w:ilvl w:val="0"/>
          <w:numId w:val="6"/>
        </w:numPr>
        <w:pBdr/>
        <w:spacing/>
        <w:ind/>
        <w:rPr/>
      </w:pPr>
      <w:r>
        <w:t xml:space="preserve">les coordonnées du point de contact du Sous-traitant pour obtenir des informations complémentaires.</w:t>
      </w:r>
      <w:bookmarkEnd w:id="33"/>
      <w:r/>
      <w:r/>
    </w:p>
    <w:p>
      <w:pPr>
        <w:pStyle w:val="972"/>
        <w:pBdr/>
        <w:spacing/>
        <w:ind/>
        <w:rPr/>
      </w:pPr>
      <w:r/>
      <w:bookmarkStart w:id="69" w:name="_Toc16"/>
      <w:r/>
      <w:bookmarkStart w:id="34" w:name="assistance-à-lanalyse-dimpact"/>
      <w:r>
        <w:t xml:space="preserve">5.7 Assistance à l’analyse d’impact</w:t>
      </w:r>
      <w:bookmarkEnd w:id="69"/>
      <w:r/>
      <w:r/>
    </w:p>
    <w:p>
      <w:pPr>
        <w:pBdr/>
        <w:spacing/>
        <w:ind/>
        <w:rPr/>
      </w:pPr>
      <w:r>
        <w:t xml:space="preserve">Le Sous-traitant aide le Responsable de traitement à mener les analyses d’impact relatives à la protection des données (AIPD) prévues à l’article 35 du RGPD, ainsi que les consultations préalables de l’autorité de contrôle prévues à l’article 36 du RGPD.</w:t>
      </w:r>
      <w:bookmarkEnd w:id="34"/>
      <w:r/>
      <w:r/>
    </w:p>
    <w:p>
      <w:pPr>
        <w:pStyle w:val="972"/>
        <w:pBdr/>
        <w:spacing/>
        <w:ind/>
        <w:rPr/>
      </w:pPr>
      <w:r/>
      <w:bookmarkStart w:id="70" w:name="_Toc17"/>
      <w:r/>
      <w:bookmarkStart w:id="35" w:name="X540afa9c67c9757d0f3866a73a477628949db5b"/>
      <w:r>
        <w:t xml:space="preserve">5.8 Tenue d’un registre des activités de traitement</w:t>
      </w:r>
      <w:bookmarkEnd w:id="70"/>
      <w:r/>
      <w:r/>
    </w:p>
    <w:p>
      <w:pPr>
        <w:pBdr/>
        <w:spacing/>
        <w:ind/>
        <w:rPr/>
      </w:pPr>
      <w:r>
        <w:t xml:space="preserve">Le Sou</w:t>
      </w:r>
      <w:r>
        <w:t xml:space="preserve">s-traitant tient un registre des activités de traitement effectuées pour le compte du Responsable de traitement, conformément à l’article 30.2 du RGPD. Ce registre est mis à disposition du Responsable de traitement et de l’autorité de contrôle sur demande.</w:t>
      </w:r>
      <w:bookmarkEnd w:id="35"/>
      <w:r/>
      <w:r/>
    </w:p>
    <w:p>
      <w:pPr>
        <w:pStyle w:val="972"/>
        <w:pBdr/>
        <w:spacing/>
        <w:ind/>
        <w:rPr/>
      </w:pPr>
      <w:r/>
      <w:bookmarkStart w:id="71" w:name="_Toc18"/>
      <w:r/>
      <w:bookmarkStart w:id="36" w:name="Xa496e9a93ed3891fbe3215923853ab88305e419"/>
      <w:r>
        <w:t xml:space="preserve">5.9 Localisation des données et transferts hors UE</w:t>
      </w:r>
      <w:bookmarkEnd w:id="71"/>
      <w:r/>
      <w:r/>
    </w:p>
    <w:p>
      <w:pPr>
        <w:pBdr/>
        <w:spacing/>
        <w:ind/>
        <w:rPr/>
      </w:pPr>
      <w:r>
        <w:t xml:space="preserve">Le Sous-traitant garantit que les données à caractère personnel sont hébergées exclusivement sur des infrastructures situées en</w:t>
      </w:r>
      <w:r>
        <w:t xml:space="preserve"> </w:t>
      </w:r>
      <w:r>
        <w:rPr>
          <w:b/>
          <w:bCs/>
        </w:rPr>
        <w:t xml:space="preserve">France</w:t>
      </w:r>
      <w:r>
        <w:t xml:space="preserve"> </w:t>
      </w:r>
      <w:r>
        <w:t xml:space="preserve">ou dans l’</w:t>
      </w:r>
      <w:r>
        <w:rPr>
          <w:b/>
          <w:bCs/>
        </w:rPr>
        <w:t xml:space="preserve">Union européenne</w:t>
      </w:r>
      <w:r>
        <w:t xml:space="preserve">.</w:t>
      </w:r>
      <w:r/>
    </w:p>
    <w:p>
      <w:pPr>
        <w:pBdr/>
        <w:spacing/>
        <w:ind/>
        <w:rPr/>
      </w:pPr>
      <w:r>
        <w:t xml:space="preserve">Aucun transfert de données vers un pays tiers, y compris les États-Unis o</w:t>
      </w:r>
      <w:r>
        <w:t xml:space="preserve">u le Royaume-Uni, n’est effectué sans autorisation écrite préalable du Responsable de traitement et sans encadrement juridique conforme aux articles 44 à 50 du RGPD (décisions d’adéquation, clauses contractuelles types, règles d’entreprise contraignantes).</w:t>
      </w:r>
      <w:r/>
    </w:p>
    <w:p>
      <w:pPr>
        <w:pBdr/>
        <w:spacing/>
        <w:ind/>
        <w:rPr/>
      </w:pPr>
      <w:r>
        <w:t xml:space="preserve">Le détail des transferts éventuels et les garanties applicables figurent à l’</w:t>
      </w:r>
      <w:r>
        <w:rPr>
          <w:b/>
          <w:bCs/>
        </w:rPr>
        <w:t xml:space="preserve">Annexe 4</w:t>
      </w:r>
      <w:r>
        <w:t xml:space="preserve">.</w:t>
      </w:r>
      <w:bookmarkEnd w:id="36"/>
      <w:r/>
      <w:r/>
    </w:p>
    <w:p>
      <w:pPr>
        <w:pStyle w:val="972"/>
        <w:pBdr/>
        <w:spacing/>
        <w:ind/>
        <w:rPr/>
      </w:pPr>
      <w:r/>
      <w:bookmarkStart w:id="72" w:name="_Toc19"/>
      <w:r/>
      <w:bookmarkStart w:id="37" w:name="documentation-et-audits"/>
      <w:r>
        <w:t xml:space="preserve">5.10 Documentation et audits</w:t>
      </w:r>
      <w:bookmarkEnd w:id="72"/>
      <w:r/>
      <w:r/>
    </w:p>
    <w:p>
      <w:pPr>
        <w:pBdr/>
        <w:spacing/>
        <w:ind/>
        <w:rPr/>
      </w:pPr>
      <w:r>
        <w:t xml:space="preserve">Le Sous-traitant met à disposition du Responsable d</w:t>
      </w:r>
      <w:r>
        <w:t xml:space="preserve">e traitement toutes les informations nécessaires pour démontrer le respect de ses obligations au titre du présent Accord et permettre la réalisation d’audits, y compris des inspections, par le Responsable de traitement ou un autre auditeur qu’il a mandaté.</w:t>
      </w:r>
      <w:r/>
    </w:p>
    <w:p>
      <w:pPr>
        <w:pBdr/>
        <w:spacing/>
        <w:ind/>
        <w:rPr/>
      </w:pPr>
      <w:r>
        <w:t xml:space="preserve">Les audits</w:t>
      </w:r>
      <w:r>
        <w:t xml:space="preserve"> sont organisés moyennant un préavis raisonnable de trente (30) jours, dans les locaux du Sous-traitant et pendant les heures ouvrables, sans perturber le fonctionnement normal de l’activité. Les frais d’audit sont à la charge du Responsable de traitement.</w:t>
      </w:r>
      <w:bookmarkEnd w:id="37"/>
      <w:r/>
      <w:bookmarkEnd w:id="38"/>
      <w:r/>
      <w:r/>
    </w:p>
    <w:p>
      <w:pPr>
        <w:pStyle w:val="971"/>
        <w:pBdr/>
        <w:spacing/>
        <w:ind/>
        <w:rPr/>
      </w:pPr>
      <w:r/>
      <w:bookmarkStart w:id="73" w:name="_Toc20"/>
      <w:r/>
      <w:bookmarkStart w:id="39" w:name="Xc89b1ea5fef7f2b5338dd19583f49fe243526d0"/>
      <w:r>
        <w:t xml:space="preserve">Article 6. Obligations du Responsable de traitement</w:t>
      </w:r>
      <w:bookmarkEnd w:id="73"/>
      <w:r/>
      <w:r/>
    </w:p>
    <w:p>
      <w:pPr>
        <w:pBdr/>
        <w:spacing/>
        <w:ind/>
        <w:rPr/>
      </w:pPr>
      <w:r>
        <w:t xml:space="preserve">Le Responsable de traitement s’engage à :</w:t>
      </w:r>
      <w:r/>
    </w:p>
    <w:p>
      <w:pPr>
        <w:numPr>
          <w:ilvl w:val="0"/>
          <w:numId w:val="7"/>
        </w:numPr>
        <w:pBdr/>
        <w:spacing/>
        <w:ind/>
        <w:rPr/>
      </w:pPr>
      <w:r>
        <w:t xml:space="preserve">documenter par écrit toute instruction concernant le traitement des données par le Sous-traitant ;</w:t>
      </w:r>
      <w:r/>
    </w:p>
    <w:p>
      <w:pPr>
        <w:numPr>
          <w:ilvl w:val="0"/>
          <w:numId w:val="7"/>
        </w:numPr>
        <w:pBdr/>
        <w:spacing/>
        <w:ind/>
        <w:rPr/>
      </w:pPr>
      <w:r>
        <w:t xml:space="preserve">veiller au respect des obligations prévues par le RGPD du côté du Sous-traitant ;</w:t>
      </w:r>
      <w:r/>
    </w:p>
    <w:p>
      <w:pPr>
        <w:numPr>
          <w:ilvl w:val="0"/>
          <w:numId w:val="7"/>
        </w:numPr>
        <w:pBdr/>
        <w:spacing/>
        <w:ind/>
        <w:rPr/>
      </w:pPr>
      <w:r>
        <w:t xml:space="preserve">superviser le traitement, y compris en réalisant des audits et inspections auprès du Sous-traitant ;</w:t>
      </w:r>
      <w:r/>
    </w:p>
    <w:p>
      <w:pPr>
        <w:numPr>
          <w:ilvl w:val="0"/>
          <w:numId w:val="7"/>
        </w:numPr>
        <w:pBdr/>
        <w:spacing/>
        <w:ind/>
        <w:rPr/>
      </w:pPr>
      <w:r>
        <w:t xml:space="preserve">informer le Sous-traitant de toute modification significative des finalités du traitement ou des catégories de données traitées.</w:t>
      </w:r>
      <w:bookmarkEnd w:id="39"/>
      <w:r/>
      <w:r/>
    </w:p>
    <w:p>
      <w:pPr>
        <w:pStyle w:val="971"/>
        <w:pBdr/>
        <w:spacing/>
        <w:ind/>
        <w:rPr/>
      </w:pPr>
      <w:r/>
      <w:bookmarkStart w:id="74" w:name="_Toc21"/>
      <w:r/>
      <w:bookmarkStart w:id="40" w:name="Xc90e66e3a0a252a3eb8b89282a0e362fb31deea"/>
      <w:r>
        <w:t xml:space="preserve">Article 7. Sort des données en fin de contrat</w:t>
      </w:r>
      <w:bookmarkEnd w:id="74"/>
      <w:r/>
      <w:r/>
    </w:p>
    <w:p>
      <w:pPr>
        <w:pBdr/>
        <w:spacing/>
        <w:ind/>
        <w:rPr/>
      </w:pPr>
      <w:r>
        <w:t xml:space="preserve">À la fin de la prestation, le Sous-traitant s’engage, au choix du Responsable de traitement et sur instruction écrite :</w:t>
      </w:r>
      <w:r/>
    </w:p>
    <w:p>
      <w:pPr>
        <w:numPr>
          <w:ilvl w:val="0"/>
          <w:numId w:val="8"/>
        </w:numPr>
        <w:pBdr/>
        <w:spacing/>
        <w:ind/>
        <w:rPr/>
      </w:pPr>
      <w:r>
        <w:t xml:space="preserve">à</w:t>
      </w:r>
      <w:r>
        <w:t xml:space="preserve"> </w:t>
      </w:r>
      <w:r>
        <w:rPr>
          <w:b/>
          <w:bCs/>
        </w:rPr>
        <w:t xml:space="preserve">renvoyer</w:t>
      </w:r>
      <w:r>
        <w:t xml:space="preserve"> </w:t>
      </w:r>
      <w:r>
        <w:t xml:space="preserve">au Responsable de traitement toutes les données à caractère personnel traitées dans le cadre du Contrat Principal, dans un format structuré et couramment utilisé ; OU</w:t>
      </w:r>
      <w:r/>
    </w:p>
    <w:p>
      <w:pPr>
        <w:numPr>
          <w:ilvl w:val="0"/>
          <w:numId w:val="8"/>
        </w:numPr>
        <w:pBdr/>
        <w:spacing/>
        <w:ind/>
        <w:rPr/>
      </w:pPr>
      <w:r>
        <w:t xml:space="preserve">à</w:t>
      </w:r>
      <w:r>
        <w:t xml:space="preserve"> </w:t>
      </w:r>
      <w:r>
        <w:rPr>
          <w:b/>
          <w:bCs/>
        </w:rPr>
        <w:t xml:space="preserve">détruire</w:t>
      </w:r>
      <w:r>
        <w:t xml:space="preserve"> </w:t>
      </w:r>
      <w:r>
        <w:t xml:space="preserve">toutes les données à caractère personnel et leurs copies, sauf obligation légale de conservation.</w:t>
      </w:r>
      <w:r/>
    </w:p>
    <w:p>
      <w:pPr>
        <w:pBdr/>
        <w:spacing/>
        <w:ind/>
        <w:rPr/>
      </w:pPr>
      <w:r>
        <w:t xml:space="preserve">L’opération de restitution ou de destruction est réalisée dans un délai maximal de trente (30) jours à compter de la fin du Contrat Principal. Le Sous-traitant fournit une attestation écrite de destruction signée par le représentant légal.</w:t>
      </w:r>
      <w:r/>
    </w:p>
    <w:p>
      <w:pPr>
        <w:pBdr/>
        <w:spacing/>
        <w:ind/>
        <w:rPr/>
      </w:pPr>
      <w:r>
        <w:t xml:space="preserve">Les sauvegardes existantes sur les supports d’archivage sont conservées le temps nécessaire à la rotation normale des sauvegardes (maximum quatre-vingt-dix [90] jours), puis détruites automatiquement.</w:t>
      </w:r>
      <w:bookmarkEnd w:id="40"/>
      <w:r/>
      <w:r/>
    </w:p>
    <w:p>
      <w:pPr>
        <w:pStyle w:val="971"/>
        <w:pBdr/>
        <w:spacing/>
        <w:ind/>
        <w:rPr/>
      </w:pPr>
      <w:r/>
      <w:bookmarkStart w:id="75" w:name="_Toc22"/>
      <w:r/>
      <w:bookmarkStart w:id="41" w:name="article-8.-responsabilité-et-litiges"/>
      <w:r>
        <w:t xml:space="preserve">Article 8. Responsabilité et litiges</w:t>
      </w:r>
      <w:bookmarkEnd w:id="75"/>
      <w:r/>
      <w:r/>
    </w:p>
    <w:p>
      <w:pPr>
        <w:pBdr/>
        <w:spacing/>
        <w:ind/>
        <w:rPr/>
      </w:pPr>
      <w:r>
        <w:t xml:space="preserve">Chaque Partie est responsable des dommages causés par un traitement qui ne respecte pas les obligations imposées par le RGPD ou par le présent Accord, conformément à l’article 82 du RGPD.</w:t>
      </w:r>
      <w:r/>
    </w:p>
    <w:p>
      <w:pPr>
        <w:pBdr/>
        <w:spacing/>
        <w:ind/>
        <w:rPr/>
      </w:pPr>
      <w:r>
        <w:t xml:space="preserve">Le Sous-traitant est exonéré de toute responsabilité s’il prouve que le fait qui a provoqué le dommage ne lui est nullement imputable.</w:t>
      </w:r>
      <w:r/>
    </w:p>
    <w:p>
      <w:pPr>
        <w:pBdr/>
        <w:spacing/>
        <w:ind/>
        <w:rPr/>
      </w:pPr>
      <w:r>
        <w:t xml:space="preserve">Tout litige relatif à l’interprétation ou à l’exécution du présent Accord sera soumis aux tribunaux compétents du ressort du siège social du Sous-traitant, à défaut d’accord amiable préalable.</w:t>
      </w:r>
      <w:bookmarkEnd w:id="41"/>
      <w:r/>
      <w:r/>
    </w:p>
    <w:p>
      <w:pPr>
        <w:pStyle w:val="971"/>
        <w:pBdr/>
        <w:spacing/>
        <w:ind/>
        <w:rPr/>
      </w:pPr>
      <w:r/>
      <w:bookmarkStart w:id="76" w:name="_Toc23"/>
      <w:r/>
      <w:bookmarkStart w:id="42" w:name="Xe144d99c7aed3bc96f5c0dad5307d6d3d3168f0"/>
      <w:r>
        <w:t xml:space="preserve">Article 9. Modification, loi applicable et signatures</w:t>
      </w:r>
      <w:bookmarkEnd w:id="76"/>
      <w:r/>
      <w:r/>
    </w:p>
    <w:p>
      <w:pPr>
        <w:pBdr/>
        <w:spacing/>
        <w:ind/>
        <w:rPr/>
      </w:pPr>
      <w:r>
        <w:t xml:space="preserve">Toute modification du présent Accord doit faire l’objet d’un avenant écrit signé par les deux Parties.</w:t>
      </w:r>
      <w:r/>
    </w:p>
    <w:p>
      <w:pPr>
        <w:pBdr/>
        <w:spacing/>
        <w:ind/>
        <w:rPr/>
      </w:pPr>
      <w:r>
        <w:t xml:space="preserve">Le présent Accord est régi par le droit français. Toute disposition jugée nulle ou inapplicable n’affecte pas la validité des autres dispositions.</w:t>
      </w:r>
      <w:r/>
    </w:p>
    <w:p>
      <w:pPr>
        <w:pBdr/>
        <w:spacing/>
        <w:ind/>
        <w:rPr/>
      </w:pPr>
      <w:r>
        <w:t xml:space="preserve">Fait en deux exemplaires originaux, à [LIEU], le [DATE].</w:t>
      </w:r>
      <w:r/>
    </w:p>
    <w:tbl>
      <w:tblPr>
        <w:tblW w:w="0" w:type="auto"/>
        <w:tblBorders/>
        <w:tblLook w:val="0020" w:firstRow="1" w:lastRow="0" w:firstColumn="0" w:lastColumn="0" w:noHBand="0" w:noVBand="0"/>
      </w:tblPr>
      <w:tblGrid>
        <w:gridCol w:w="3960"/>
        <w:gridCol w:w="3960"/>
      </w:tblGrid>
      <w:tr>
        <w:trPr>
          <w:tblHeader/>
        </w:trPr>
        <w:tc>
          <w:tcPr>
            <w:tcBorders/>
          </w:tcPr>
          <w:p>
            <w:pPr>
              <w:pBdr/>
              <w:spacing/>
              <w:ind/>
              <w:jc w:val="left"/>
              <w:rPr/>
            </w:pPr>
            <w:r>
              <w:t xml:space="preserve">Pour le Responsable de traitement</w:t>
            </w:r>
            <w:r/>
          </w:p>
        </w:tc>
        <w:tc>
          <w:tcPr>
            <w:tcBorders/>
          </w:tcPr>
          <w:p>
            <w:pPr>
              <w:pBdr/>
              <w:spacing/>
              <w:ind/>
              <w:jc w:val="left"/>
              <w:rPr/>
            </w:pPr>
            <w:r>
              <w:t xml:space="preserve">Pour le Sous-traitant ARDNTECH</w:t>
            </w:r>
            <w:r/>
          </w:p>
        </w:tc>
      </w:tr>
      <w:tr>
        <w:trPr/>
        <w:tc>
          <w:tcPr>
            <w:tcBorders/>
          </w:tcPr>
          <w:p>
            <w:pPr>
              <w:pBdr/>
              <w:spacing/>
              <w:ind/>
              <w:jc w:val="left"/>
              <w:rPr/>
            </w:pPr>
            <w:r>
              <w:t xml:space="preserve">Nom : [À COMPLÉTER]</w:t>
            </w:r>
            <w:r/>
          </w:p>
        </w:tc>
        <w:tc>
          <w:tcPr>
            <w:tcBorders/>
          </w:tcPr>
          <w:p>
            <w:pPr>
              <w:pBdr/>
              <w:spacing/>
              <w:ind/>
              <w:jc w:val="left"/>
              <w:rPr/>
            </w:pPr>
            <w:r>
              <w:t xml:space="preserve">Nom : Adrien CHAUMARAT</w:t>
            </w:r>
            <w:r/>
          </w:p>
        </w:tc>
      </w:tr>
      <w:tr>
        <w:trPr/>
        <w:tc>
          <w:tcPr>
            <w:tcBorders/>
          </w:tcPr>
          <w:p>
            <w:pPr>
              <w:pBdr/>
              <w:spacing/>
              <w:ind/>
              <w:jc w:val="left"/>
              <w:rPr/>
            </w:pPr>
            <w:r>
              <w:t xml:space="preserve">Fonction : [À COMPLÉTER]</w:t>
            </w:r>
            <w:r/>
          </w:p>
        </w:tc>
        <w:tc>
          <w:tcPr>
            <w:tcBorders/>
          </w:tcPr>
          <w:p>
            <w:pPr>
              <w:pBdr/>
              <w:spacing/>
              <w:ind/>
              <w:jc w:val="left"/>
              <w:rPr/>
            </w:pPr>
            <w:r>
              <w:t xml:space="preserve">Fonction : Fondateur</w:t>
            </w:r>
            <w:r/>
          </w:p>
        </w:tc>
      </w:tr>
      <w:tr>
        <w:trPr/>
        <w:tc>
          <w:tcPr>
            <w:tcBorders/>
          </w:tcPr>
          <w:p>
            <w:pPr>
              <w:pBdr/>
              <w:spacing/>
              <w:ind/>
              <w:jc w:val="left"/>
              <w:rPr/>
            </w:pPr>
            <w:r>
              <w:t xml:space="preserve">Signature :</w:t>
            </w:r>
            <w:r/>
          </w:p>
        </w:tc>
        <w:tc>
          <w:tcPr>
            <w:tcBorders/>
          </w:tcPr>
          <w:p>
            <w:pPr>
              <w:pBdr/>
              <w:spacing/>
              <w:ind/>
              <w:jc w:val="left"/>
              <w:rPr/>
            </w:pPr>
            <w:r>
              <w:t xml:space="preserve">Signature :</w:t>
            </w:r>
            <w:bookmarkEnd w:id="42"/>
            <w:r/>
            <w:r/>
          </w:p>
        </w:tc>
      </w:tr>
    </w:tbl>
    <w:p>
      <w:pPr>
        <w:pStyle w:val="971"/>
        <w:pBdr/>
        <w:spacing/>
        <w:ind/>
        <w:rPr/>
      </w:pPr>
      <w:r/>
      <w:bookmarkStart w:id="77" w:name="_Toc24"/>
      <w:r/>
      <w:bookmarkStart w:id="47" w:name="Xa546197f5ee61cf926c36358c55a9b6cfbcea74"/>
      <w:r>
        <w:t xml:space="preserve">Annexe 1. Description détaillée du traitement</w:t>
      </w:r>
      <w:bookmarkEnd w:id="77"/>
      <w:r/>
      <w:r/>
    </w:p>
    <w:p>
      <w:pPr>
        <w:pStyle w:val="972"/>
        <w:pBdr/>
        <w:spacing/>
        <w:ind/>
        <w:rPr/>
      </w:pPr>
      <w:r/>
      <w:bookmarkStart w:id="78" w:name="_Toc25"/>
      <w:r/>
      <w:bookmarkStart w:id="43" w:name="nature-et-finalité-du-traitement"/>
      <w:r>
        <w:t xml:space="preserve">Nature et finalité du traitement</w:t>
      </w:r>
      <w:bookmarkEnd w:id="78"/>
      <w:r/>
      <w:r/>
    </w:p>
    <w:p>
      <w:pPr>
        <w:pBdr/>
        <w:spacing/>
        <w:ind/>
        <w:rPr/>
      </w:pPr>
      <w:r>
        <w:t xml:space="preserve">[À COMPLÉTER : décrire en quelques phrases la finalité métier du traitement, par exemple « Gestion de la facturation des clients de l’éditeur SaaS X » ou « Plateforme de relecture qualité pour laboratoire pharmaceutique »]</w:t>
      </w:r>
      <w:bookmarkEnd w:id="43"/>
      <w:r/>
      <w:r/>
    </w:p>
    <w:p>
      <w:pPr>
        <w:pStyle w:val="972"/>
        <w:pBdr/>
        <w:spacing/>
        <w:ind/>
        <w:rPr/>
      </w:pPr>
      <w:r/>
      <w:bookmarkStart w:id="79" w:name="_Toc26"/>
      <w:r/>
      <w:bookmarkStart w:id="44" w:name="catégories-de-données-traitées"/>
      <w:r>
        <w:t xml:space="preserve">Catégories de données traitées</w:t>
      </w:r>
      <w:bookmarkEnd w:id="79"/>
      <w:r/>
      <w:r/>
    </w:p>
    <w:p>
      <w:pPr>
        <w:pBdr/>
        <w:spacing/>
        <w:ind/>
        <w:rPr/>
      </w:pPr>
      <w:r>
        <w:t xml:space="preserve">[À COMPLÉTER. Exemples non exhaustifs :]</w:t>
      </w:r>
      <w:r/>
    </w:p>
    <w:p>
      <w:pPr>
        <w:numPr>
          <w:ilvl w:val="0"/>
          <w:numId w:val="9"/>
        </w:numPr>
        <w:pBdr/>
        <w:spacing/>
        <w:ind/>
        <w:rPr/>
      </w:pPr>
      <w:r>
        <w:rPr>
          <w:b/>
          <w:bCs/>
        </w:rPr>
        <w:t xml:space="preserve">Données d’identification</w:t>
      </w:r>
      <w:r>
        <w:t xml:space="preserve"> </w:t>
      </w:r>
      <w:r>
        <w:t xml:space="preserve">: nom, prénom, fonction, adresse postale professionnelle</w:t>
      </w:r>
      <w:r/>
    </w:p>
    <w:p>
      <w:pPr>
        <w:numPr>
          <w:ilvl w:val="0"/>
          <w:numId w:val="9"/>
        </w:numPr>
        <w:pBdr/>
        <w:spacing/>
        <w:ind/>
        <w:rPr/>
      </w:pPr>
      <w:r>
        <w:rPr>
          <w:b/>
          <w:bCs/>
        </w:rPr>
        <w:t xml:space="preserve">Coordonnées professionnelles</w:t>
      </w:r>
      <w:r>
        <w:t xml:space="preserve"> </w:t>
      </w:r>
      <w:r>
        <w:t xml:space="preserve">: adresse électronique, numéro de téléphone professionnel</w:t>
      </w:r>
      <w:r/>
    </w:p>
    <w:p>
      <w:pPr>
        <w:numPr>
          <w:ilvl w:val="0"/>
          <w:numId w:val="9"/>
        </w:numPr>
        <w:pBdr/>
        <w:spacing/>
        <w:ind/>
        <w:rPr/>
      </w:pPr>
      <w:r>
        <w:rPr>
          <w:b/>
          <w:bCs/>
        </w:rPr>
        <w:t xml:space="preserve">Données de connexion</w:t>
      </w:r>
      <w:r>
        <w:t xml:space="preserve"> </w:t>
      </w:r>
      <w:r>
        <w:t xml:space="preserve">: identifiants, adresses IP, logs techniques</w:t>
      </w:r>
      <w:r/>
    </w:p>
    <w:p>
      <w:pPr>
        <w:numPr>
          <w:ilvl w:val="0"/>
          <w:numId w:val="9"/>
        </w:numPr>
        <w:pBdr/>
        <w:spacing/>
        <w:ind/>
        <w:rPr/>
      </w:pPr>
      <w:r>
        <w:rPr>
          <w:b/>
          <w:bCs/>
        </w:rPr>
        <w:t xml:space="preserve">Données contractuelles</w:t>
      </w:r>
      <w:r>
        <w:t xml:space="preserve"> </w:t>
      </w:r>
      <w:r>
        <w:t xml:space="preserve">: référence client, numéros de devis et factures</w:t>
      </w:r>
      <w:r/>
    </w:p>
    <w:p>
      <w:pPr>
        <w:numPr>
          <w:ilvl w:val="0"/>
          <w:numId w:val="9"/>
        </w:numPr>
        <w:pBdr/>
        <w:spacing/>
        <w:ind/>
        <w:rPr/>
      </w:pPr>
      <w:r>
        <w:rPr>
          <w:b/>
          <w:bCs/>
        </w:rPr>
        <w:t xml:space="preserve">Données métier</w:t>
      </w:r>
      <w:r>
        <w:t xml:space="preserve"> </w:t>
      </w:r>
      <w:r>
        <w:t xml:space="preserve">: [à préciser selon le projet, par exemple : références de produits, historiques de commandes, contenus de documents soumis à relecture]</w:t>
      </w:r>
      <w:r/>
    </w:p>
    <w:p>
      <w:pPr>
        <w:pBdr/>
        <w:spacing/>
        <w:ind/>
        <w:rPr/>
      </w:pPr>
      <w:r>
        <w:t xml:space="preserve">Aucune donnée sensible au sens de l’article 9 du RGPD n’est traitée, sauf mention contraire explicite dans la présente annexe.</w:t>
      </w:r>
      <w:bookmarkEnd w:id="44"/>
      <w:r/>
      <w:r/>
    </w:p>
    <w:p>
      <w:pPr>
        <w:pStyle w:val="972"/>
        <w:pBdr/>
        <w:spacing/>
        <w:ind/>
        <w:rPr/>
      </w:pPr>
      <w:r/>
      <w:bookmarkStart w:id="80" w:name="_Toc27"/>
      <w:r/>
      <w:bookmarkStart w:id="45" w:name="catégories-de-personnes-concernées"/>
      <w:r>
        <w:t xml:space="preserve">Catégories de personnes concernées</w:t>
      </w:r>
      <w:bookmarkEnd w:id="80"/>
      <w:r/>
      <w:r/>
    </w:p>
    <w:p>
      <w:pPr>
        <w:pBdr/>
        <w:spacing/>
        <w:ind/>
        <w:rPr/>
      </w:pPr>
      <w:r>
        <w:t xml:space="preserve">[À COMPLÉTER. Exemples :]</w:t>
      </w:r>
      <w:r/>
    </w:p>
    <w:p>
      <w:pPr>
        <w:numPr>
          <w:ilvl w:val="0"/>
          <w:numId w:val="10"/>
        </w:numPr>
        <w:pBdr/>
        <w:spacing/>
        <w:ind/>
        <w:rPr/>
      </w:pPr>
      <w:r>
        <w:t xml:space="preserve">Salariés du Responsable de traitement</w:t>
      </w:r>
      <w:r/>
    </w:p>
    <w:p>
      <w:pPr>
        <w:numPr>
          <w:ilvl w:val="0"/>
          <w:numId w:val="10"/>
        </w:numPr>
        <w:pBdr/>
        <w:spacing/>
        <w:ind/>
        <w:rPr/>
      </w:pPr>
      <w:r>
        <w:t xml:space="preserve">Clients professionnels du Responsable de traitement</w:t>
      </w:r>
      <w:r/>
    </w:p>
    <w:p>
      <w:pPr>
        <w:numPr>
          <w:ilvl w:val="0"/>
          <w:numId w:val="10"/>
        </w:numPr>
        <w:pBdr/>
        <w:spacing/>
        <w:ind/>
        <w:rPr/>
      </w:pPr>
      <w:r>
        <w:t xml:space="preserve">Prospects du Responsable de traitement</w:t>
      </w:r>
      <w:r/>
    </w:p>
    <w:p>
      <w:pPr>
        <w:numPr>
          <w:ilvl w:val="0"/>
          <w:numId w:val="10"/>
        </w:numPr>
        <w:pBdr/>
        <w:spacing/>
        <w:ind/>
        <w:rPr/>
      </w:pPr>
      <w:r>
        <w:t xml:space="preserve">[Autres catégories spécifiques au projet]</w:t>
      </w:r>
      <w:bookmarkEnd w:id="45"/>
      <w:r/>
      <w:r/>
    </w:p>
    <w:p>
      <w:pPr>
        <w:pStyle w:val="972"/>
        <w:pBdr/>
        <w:spacing/>
        <w:ind/>
        <w:rPr/>
      </w:pPr>
      <w:r/>
      <w:bookmarkStart w:id="81" w:name="_Toc28"/>
      <w:r/>
      <w:bookmarkStart w:id="46" w:name="durée-de-conservation"/>
      <w:r>
        <w:t xml:space="preserve">Durée de conservation</w:t>
      </w:r>
      <w:bookmarkEnd w:id="81"/>
      <w:r/>
      <w:r/>
    </w:p>
    <w:p>
      <w:pPr>
        <w:pBdr/>
        <w:spacing/>
        <w:ind/>
        <w:rPr/>
      </w:pPr>
      <w:r>
        <w:t xml:space="preserve">[À COMPLÉTER. Indications types :]</w:t>
      </w:r>
      <w:r/>
    </w:p>
    <w:p>
      <w:pPr>
        <w:numPr>
          <w:ilvl w:val="0"/>
          <w:numId w:val="11"/>
        </w:numPr>
        <w:pBdr/>
        <w:spacing/>
        <w:ind/>
        <w:rPr/>
      </w:pPr>
      <w:r>
        <w:t xml:space="preserve">Données contractuelles actives : durée du Contrat Principal</w:t>
      </w:r>
      <w:r/>
    </w:p>
    <w:p>
      <w:pPr>
        <w:numPr>
          <w:ilvl w:val="0"/>
          <w:numId w:val="11"/>
        </w:numPr>
        <w:pBdr/>
        <w:spacing/>
        <w:ind/>
        <w:rPr/>
      </w:pPr>
      <w:r>
        <w:t xml:space="preserve">Données contractuelles archivées : cinq (5) ans après la fin du contrat, conformément aux obligations comptables</w:t>
      </w:r>
      <w:r/>
    </w:p>
    <w:p>
      <w:pPr>
        <w:numPr>
          <w:ilvl w:val="0"/>
          <w:numId w:val="11"/>
        </w:numPr>
        <w:pBdr/>
        <w:spacing/>
        <w:ind/>
        <w:rPr/>
      </w:pPr>
      <w:r>
        <w:t xml:space="preserve">Logs techniques de sécurité : six (6) mois en production, treize (13) mois en archives froides</w:t>
      </w:r>
      <w:bookmarkEnd w:id="46"/>
      <w:r/>
      <w:bookmarkEnd w:id="47"/>
      <w:r/>
      <w:r/>
    </w:p>
    <w:p>
      <w:pPr>
        <w:pStyle w:val="971"/>
        <w:pBdr/>
        <w:spacing/>
        <w:ind/>
        <w:rPr/>
      </w:pPr>
      <w:r/>
      <w:bookmarkStart w:id="82" w:name="_Toc29"/>
      <w:r/>
      <w:bookmarkStart w:id="48" w:name="Xc26e00401435afc857b922d80e6740094db474c"/>
      <w:r>
        <w:t xml:space="preserve">Annexe 2. Liste des sous-traitants ultérieurs autorisés</w:t>
      </w:r>
      <w:bookmarkEnd w:id="82"/>
      <w:r/>
      <w:r/>
    </w:p>
    <w:p>
      <w:pPr>
        <w:pBdr/>
        <w:spacing/>
        <w:ind/>
        <w:rPr/>
      </w:pPr>
      <w:r>
        <w:t xml:space="preserve">Au jour de la signature du présent Accord, le Sous-traitant a recours aux sous-traitants ultérieurs suivants :</w:t>
      </w:r>
      <w:r/>
    </w:p>
    <w:tbl>
      <w:tblPr>
        <w:tblW w:w="5000" w:type="pct"/>
        <w:tblBorders/>
        <w:tblLayout w:type="fixed"/>
        <w:tblLook w:val="0020" w:firstRow="1" w:lastRow="0" w:firstColumn="0" w:lastColumn="0" w:noHBand="0" w:noVBand="0"/>
      </w:tblPr>
      <w:tblGrid>
        <w:gridCol w:w="1980"/>
        <w:gridCol w:w="1980"/>
        <w:gridCol w:w="1980"/>
        <w:gridCol w:w="1980"/>
      </w:tblGrid>
      <w:tr>
        <w:trPr>
          <w:tblHeader/>
        </w:trPr>
        <w:tc>
          <w:tcPr>
            <w:tcBorders/>
          </w:tcPr>
          <w:p>
            <w:pPr>
              <w:pBdr/>
              <w:spacing/>
              <w:ind/>
              <w:jc w:val="left"/>
              <w:rPr/>
            </w:pPr>
            <w:r>
              <w:t xml:space="preserve">Sous-traitant ultérieur</w:t>
            </w:r>
            <w:r/>
          </w:p>
        </w:tc>
        <w:tc>
          <w:tcPr>
            <w:tcBorders/>
          </w:tcPr>
          <w:p>
            <w:pPr>
              <w:pBdr/>
              <w:spacing/>
              <w:ind/>
              <w:jc w:val="left"/>
              <w:rPr/>
            </w:pPr>
            <w:r>
              <w:t xml:space="preserve">Service rendu</w:t>
            </w:r>
            <w:r/>
          </w:p>
        </w:tc>
        <w:tc>
          <w:tcPr>
            <w:tcBorders/>
          </w:tcPr>
          <w:p>
            <w:pPr>
              <w:pBdr/>
              <w:spacing/>
              <w:ind/>
              <w:jc w:val="left"/>
              <w:rPr/>
            </w:pPr>
            <w:r>
              <w:t xml:space="preserve">Localisation des données</w:t>
            </w:r>
            <w:r/>
          </w:p>
        </w:tc>
        <w:tc>
          <w:tcPr>
            <w:tcBorders/>
          </w:tcPr>
          <w:p>
            <w:pPr>
              <w:pBdr/>
              <w:spacing/>
              <w:ind/>
              <w:jc w:val="left"/>
              <w:rPr/>
            </w:pPr>
            <w:r>
              <w:t xml:space="preserve">Garanties RGPD</w:t>
            </w:r>
            <w:r/>
          </w:p>
        </w:tc>
      </w:tr>
      <w:tr>
        <w:trPr/>
        <w:tc>
          <w:tcPr>
            <w:tcBorders/>
          </w:tcPr>
          <w:p>
            <w:pPr>
              <w:pBdr/>
              <w:spacing/>
              <w:ind/>
              <w:jc w:val="left"/>
              <w:rPr/>
            </w:pPr>
            <w:r>
              <w:t xml:space="preserve">Scaleway SAS</w:t>
            </w:r>
            <w:r/>
          </w:p>
        </w:tc>
        <w:tc>
          <w:tcPr>
            <w:tcBorders/>
          </w:tcPr>
          <w:p>
            <w:pPr>
              <w:pBdr/>
              <w:spacing/>
              <w:ind/>
              <w:jc w:val="left"/>
              <w:rPr/>
            </w:pPr>
            <w:r>
              <w:t xml:space="preserve">Hébergement cloud (machines virtuelles, stockage objet)</w:t>
            </w:r>
            <w:r/>
          </w:p>
        </w:tc>
        <w:tc>
          <w:tcPr>
            <w:tcBorders/>
          </w:tcPr>
          <w:p>
            <w:pPr>
              <w:pBdr/>
              <w:spacing/>
              <w:ind/>
              <w:jc w:val="left"/>
              <w:rPr/>
            </w:pPr>
            <w:r>
              <w:t xml:space="preserve">France (Paris)</w:t>
            </w:r>
            <w:r/>
          </w:p>
        </w:tc>
        <w:tc>
          <w:tcPr>
            <w:tcBorders/>
          </w:tcPr>
          <w:p>
            <w:pPr>
              <w:pBdr/>
              <w:spacing/>
              <w:ind/>
              <w:jc w:val="left"/>
              <w:rPr/>
            </w:pPr>
            <w:r>
              <w:t xml:space="preserve">DPA Scaleway, ISO 27001, HDS, RGPD natif</w:t>
            </w:r>
            <w:r/>
          </w:p>
        </w:tc>
      </w:tr>
      <w:tr>
        <w:trPr/>
        <w:tc>
          <w:tcPr>
            <w:tcBorders/>
          </w:tcPr>
          <w:p>
            <w:pPr>
              <w:pBdr/>
              <w:spacing/>
              <w:ind/>
              <w:jc w:val="left"/>
              <w:rPr/>
            </w:pPr>
            <w:r>
              <w:t xml:space="preserve">OVHcloud</w:t>
            </w:r>
            <w:r/>
          </w:p>
        </w:tc>
        <w:tc>
          <w:tcPr>
            <w:tcBorders/>
          </w:tcPr>
          <w:p>
            <w:pPr>
              <w:pBdr/>
              <w:spacing/>
              <w:ind/>
              <w:jc w:val="left"/>
              <w:rPr/>
            </w:pPr>
            <w:r>
              <w:t xml:space="preserve">Hébergement cloud alternatif (selon projet)</w:t>
            </w:r>
            <w:r/>
          </w:p>
        </w:tc>
        <w:tc>
          <w:tcPr>
            <w:tcBorders/>
          </w:tcPr>
          <w:p>
            <w:pPr>
              <w:pBdr/>
              <w:spacing/>
              <w:ind/>
              <w:jc w:val="left"/>
              <w:rPr/>
            </w:pPr>
            <w:r>
              <w:t xml:space="preserve">France (Roubaix, Strasbourg, Gravelines)</w:t>
            </w:r>
            <w:r/>
          </w:p>
        </w:tc>
        <w:tc>
          <w:tcPr>
            <w:tcBorders/>
          </w:tcPr>
          <w:p>
            <w:pPr>
              <w:pBdr/>
              <w:spacing/>
              <w:ind/>
              <w:jc w:val="left"/>
              <w:rPr/>
            </w:pPr>
            <w:r>
              <w:t xml:space="preserve">DPA OVHcloud, ISO 27001, RGPD natif</w:t>
            </w:r>
            <w:r/>
          </w:p>
        </w:tc>
      </w:tr>
      <w:tr>
        <w:trPr/>
        <w:tc>
          <w:tcPr>
            <w:tcBorders/>
          </w:tcPr>
          <w:p>
            <w:pPr>
              <w:pBdr/>
              <w:spacing/>
              <w:ind/>
              <w:jc w:val="left"/>
              <w:rPr/>
            </w:pPr>
            <w:r>
              <w:t xml:space="preserve">Infomaniak SA</w:t>
            </w:r>
            <w:r/>
          </w:p>
        </w:tc>
        <w:tc>
          <w:tcPr>
            <w:tcBorders/>
          </w:tcPr>
          <w:p>
            <w:pPr>
              <w:pBdr/>
              <w:spacing/>
              <w:ind/>
              <w:jc w:val="left"/>
              <w:rPr/>
            </w:pPr>
            <w:r>
              <w:t xml:space="preserve">Hébergement cloud alternatif (selon projet)</w:t>
            </w:r>
            <w:r/>
          </w:p>
        </w:tc>
        <w:tc>
          <w:tcPr>
            <w:tcBorders/>
          </w:tcPr>
          <w:p>
            <w:pPr>
              <w:pBdr/>
              <w:spacing/>
              <w:ind/>
              <w:jc w:val="left"/>
              <w:rPr/>
            </w:pPr>
            <w:r>
              <w:t xml:space="preserve">Suisse (datacenters propres)</w:t>
            </w:r>
            <w:r/>
          </w:p>
        </w:tc>
        <w:tc>
          <w:tcPr>
            <w:tcBorders/>
          </w:tcPr>
          <w:p>
            <w:pPr>
              <w:pBdr/>
              <w:spacing/>
              <w:ind/>
              <w:jc w:val="left"/>
              <w:rPr/>
            </w:pPr>
            <w:r>
              <w:t xml:space="preserve">RGPD-équivalent suisse, certifications ISO 27001, ISO 22301</w:t>
            </w:r>
            <w:r/>
          </w:p>
        </w:tc>
      </w:tr>
      <w:tr>
        <w:trPr/>
        <w:tc>
          <w:tcPr>
            <w:tcBorders/>
          </w:tcPr>
          <w:p>
            <w:pPr>
              <w:pBdr/>
              <w:spacing/>
              <w:ind/>
              <w:jc w:val="left"/>
              <w:rPr/>
            </w:pPr>
            <w:r>
              <w:t xml:space="preserve">Stancer Payments Europe</w:t>
            </w:r>
            <w:r/>
          </w:p>
        </w:tc>
        <w:tc>
          <w:tcPr>
            <w:tcBorders/>
          </w:tcPr>
          <w:p>
            <w:pPr>
              <w:pBdr/>
              <w:spacing/>
              <w:ind/>
              <w:jc w:val="left"/>
              <w:rPr/>
            </w:pPr>
            <w:r>
              <w:t xml:space="preserve">Traitement des paiements en ligne (le cas échéant)</w:t>
            </w:r>
            <w:r/>
          </w:p>
        </w:tc>
        <w:tc>
          <w:tcPr>
            <w:tcBorders/>
          </w:tcPr>
          <w:p>
            <w:pPr>
              <w:pBdr/>
              <w:spacing/>
              <w:ind/>
              <w:jc w:val="left"/>
              <w:rPr/>
            </w:pPr>
            <w:r>
              <w:t xml:space="preserve">France (Paris)</w:t>
            </w:r>
            <w:r/>
          </w:p>
        </w:tc>
        <w:tc>
          <w:tcPr>
            <w:tcBorders/>
          </w:tcPr>
          <w:p>
            <w:pPr>
              <w:pBdr/>
              <w:spacing/>
              <w:ind/>
              <w:jc w:val="left"/>
              <w:rPr/>
            </w:pPr>
            <w:r>
              <w:t xml:space="preserve">DPA Stancer, certifié PCI DSS Level 1</w:t>
            </w:r>
            <w:r/>
          </w:p>
        </w:tc>
      </w:tr>
      <w:tr>
        <w:trPr/>
        <w:tc>
          <w:tcPr>
            <w:tcBorders/>
          </w:tcPr>
          <w:p>
            <w:pPr>
              <w:pBdr/>
              <w:spacing/>
              <w:ind/>
              <w:jc w:val="left"/>
              <w:rPr/>
            </w:pPr>
            <w:r>
              <w:t xml:space="preserve">Brevo (ex Sendinblue)</w:t>
            </w:r>
            <w:r/>
          </w:p>
        </w:tc>
        <w:tc>
          <w:tcPr>
            <w:tcBorders/>
          </w:tcPr>
          <w:p>
            <w:pPr>
              <w:pBdr/>
              <w:spacing/>
              <w:ind/>
              <w:jc w:val="left"/>
              <w:rPr/>
            </w:pPr>
            <w:r>
              <w:t xml:space="preserve">Envoi d’emails transactionnels (le cas échéant)</w:t>
            </w:r>
            <w:r/>
          </w:p>
        </w:tc>
        <w:tc>
          <w:tcPr>
            <w:tcBorders/>
          </w:tcPr>
          <w:p>
            <w:pPr>
              <w:pBdr/>
              <w:spacing/>
              <w:ind/>
              <w:jc w:val="left"/>
              <w:rPr/>
            </w:pPr>
            <w:r>
              <w:t xml:space="preserve">France</w:t>
            </w:r>
            <w:r/>
          </w:p>
        </w:tc>
        <w:tc>
          <w:tcPr>
            <w:tcBorders/>
          </w:tcPr>
          <w:p>
            <w:pPr>
              <w:pBdr/>
              <w:spacing/>
              <w:ind/>
              <w:jc w:val="left"/>
              <w:rPr/>
            </w:pPr>
            <w:r>
              <w:t xml:space="preserve">DPA Brevo, RGPD natif</w:t>
            </w:r>
            <w:r/>
          </w:p>
        </w:tc>
      </w:tr>
    </w:tbl>
    <w:p>
      <w:pPr>
        <w:pBdr/>
        <w:spacing/>
        <w:ind/>
        <w:rPr/>
      </w:pPr>
      <w:r>
        <w:t xml:space="preserve">Cette liste peut évoluer dans les conditions prévues à l’article 5.4 du présent Accord.</w:t>
      </w:r>
      <w:bookmarkEnd w:id="48"/>
      <w:r/>
      <w:r/>
    </w:p>
    <w:p>
      <w:pPr>
        <w:pStyle w:val="971"/>
        <w:pBdr/>
        <w:spacing/>
        <w:ind/>
        <w:rPr/>
      </w:pPr>
      <w:r/>
      <w:bookmarkStart w:id="83" w:name="_Toc30"/>
      <w:r/>
      <w:bookmarkStart w:id="52" w:name="Xc8764551c6513fb4b8d3a7b0c4b44263a87d225"/>
      <w:r>
        <w:t xml:space="preserve">Annexe 3. Mesures techniques et organisationnelles</w:t>
      </w:r>
      <w:bookmarkEnd w:id="83"/>
      <w:r/>
      <w:r/>
    </w:p>
    <w:p>
      <w:pPr>
        <w:pStyle w:val="972"/>
        <w:pBdr/>
        <w:spacing/>
        <w:ind/>
        <w:rPr/>
      </w:pPr>
      <w:r/>
      <w:bookmarkStart w:id="84" w:name="_Toc31"/>
      <w:r/>
      <w:bookmarkStart w:id="49" w:name="mesures-techniques"/>
      <w:r>
        <w:t xml:space="preserve">Mesures techniques</w:t>
      </w:r>
      <w:bookmarkEnd w:id="84"/>
      <w:r/>
      <w:r/>
    </w:p>
    <w:p>
      <w:pPr>
        <w:numPr>
          <w:ilvl w:val="0"/>
          <w:numId w:val="12"/>
        </w:numPr>
        <w:pBdr/>
        <w:spacing/>
        <w:ind/>
        <w:rPr/>
      </w:pPr>
      <w:r>
        <w:rPr>
          <w:b/>
          <w:bCs/>
        </w:rPr>
        <w:t xml:space="preserve">Chiffrement en transit</w:t>
      </w:r>
      <w:r>
        <w:t xml:space="preserve"> </w:t>
      </w:r>
      <w:r>
        <w:t xml:space="preserve">: TLS 1.2 ou TLS 1.3 sur tous les flux web (HSTS activé), chiffrement des connexions base de données et SSH</w:t>
      </w:r>
      <w:r/>
    </w:p>
    <w:p>
      <w:pPr>
        <w:numPr>
          <w:ilvl w:val="0"/>
          <w:numId w:val="12"/>
        </w:numPr>
        <w:pBdr/>
        <w:spacing/>
        <w:ind/>
        <w:rPr/>
      </w:pPr>
      <w:r>
        <w:rPr>
          <w:b/>
          <w:bCs/>
        </w:rPr>
        <w:t xml:space="preserve">Chiffrement au repos</w:t>
      </w:r>
      <w:r>
        <w:t xml:space="preserve"> </w:t>
      </w:r>
      <w:r>
        <w:t xml:space="preserve">: disques chiffrés au niveau infrastructure (LUKS) et chiffrement applicatif des champs sensibles</w:t>
      </w:r>
      <w:r/>
    </w:p>
    <w:p>
      <w:pPr>
        <w:numPr>
          <w:ilvl w:val="0"/>
          <w:numId w:val="12"/>
        </w:numPr>
        <w:pBdr/>
        <w:spacing/>
        <w:ind/>
        <w:rPr/>
      </w:pPr>
      <w:r>
        <w:rPr>
          <w:b/>
          <w:bCs/>
        </w:rPr>
        <w:t xml:space="preserve">Authentification forte</w:t>
      </w:r>
      <w:r>
        <w:t xml:space="preserve"> </w:t>
      </w:r>
      <w:r>
        <w:t xml:space="preserve">: mots de passe hashés en bcrypt ou Argon2id, authentification à deux facteurs (2FA) pour les comptes administrateurs</w:t>
      </w:r>
      <w:r/>
    </w:p>
    <w:p>
      <w:pPr>
        <w:numPr>
          <w:ilvl w:val="0"/>
          <w:numId w:val="12"/>
        </w:numPr>
        <w:pBdr/>
        <w:spacing/>
        <w:ind/>
        <w:rPr/>
      </w:pPr>
      <w:r>
        <w:rPr>
          <w:b/>
          <w:bCs/>
        </w:rPr>
        <w:t xml:space="preserve">Contrôle d’accès</w:t>
      </w:r>
      <w:r>
        <w:t xml:space="preserve"> </w:t>
      </w:r>
      <w:r>
        <w:t xml:space="preserve">: principe du moindre privilège, séparation des environnements (dev, recette, production), revue annuelle des accès</w:t>
      </w:r>
      <w:r/>
    </w:p>
    <w:p>
      <w:pPr>
        <w:numPr>
          <w:ilvl w:val="0"/>
          <w:numId w:val="12"/>
        </w:numPr>
        <w:pBdr/>
        <w:spacing/>
        <w:ind/>
        <w:rPr/>
      </w:pPr>
      <w:r>
        <w:rPr>
          <w:b/>
          <w:bCs/>
        </w:rPr>
        <w:t xml:space="preserve">Pare-feu et WAF</w:t>
      </w:r>
      <w:r>
        <w:t xml:space="preserve"> </w:t>
      </w:r>
      <w:r>
        <w:t xml:space="preserve">: pare-feu applicatif, protection anti-DDoS, règles OWASP Core Rule Set</w:t>
      </w:r>
      <w:r/>
    </w:p>
    <w:p>
      <w:pPr>
        <w:numPr>
          <w:ilvl w:val="0"/>
          <w:numId w:val="12"/>
        </w:numPr>
        <w:pBdr/>
        <w:spacing/>
        <w:ind/>
        <w:rPr/>
      </w:pPr>
      <w:r>
        <w:rPr>
          <w:b/>
          <w:bCs/>
        </w:rPr>
        <w:t xml:space="preserve">Sauvegardes</w:t>
      </w:r>
      <w:r>
        <w:t xml:space="preserve"> </w:t>
      </w:r>
      <w:r>
        <w:t xml:space="preserve">: sauvegardes incrémentielles quotidiennes chiffrées, restauration testée trimestriellement, conservation conforme à la politique de rétention</w:t>
      </w:r>
      <w:r/>
    </w:p>
    <w:p>
      <w:pPr>
        <w:numPr>
          <w:ilvl w:val="0"/>
          <w:numId w:val="12"/>
        </w:numPr>
        <w:pBdr/>
        <w:spacing/>
        <w:ind/>
        <w:rPr/>
      </w:pPr>
      <w:r>
        <w:rPr>
          <w:b/>
          <w:bCs/>
        </w:rPr>
        <w:t xml:space="preserve">Journalisation</w:t>
      </w:r>
      <w:r>
        <w:t xml:space="preserve"> </w:t>
      </w:r>
      <w:r>
        <w:t xml:space="preserve">: logs d’accès et d’erreurs centralisés, conservation conforme à l’Annexe 1, alertes automatiques sur événements suspects</w:t>
      </w:r>
      <w:r/>
    </w:p>
    <w:p>
      <w:pPr>
        <w:numPr>
          <w:ilvl w:val="0"/>
          <w:numId w:val="12"/>
        </w:numPr>
        <w:pBdr/>
        <w:spacing/>
        <w:ind/>
        <w:rPr/>
      </w:pPr>
      <w:r>
        <w:rPr>
          <w:b/>
          <w:bCs/>
        </w:rPr>
        <w:t xml:space="preserve">Mises à jour</w:t>
      </w:r>
      <w:r>
        <w:t xml:space="preserve"> </w:t>
      </w:r>
      <w:r>
        <w:t xml:space="preserve">: application des correctifs de sécurité critiques sous quarante-huit (48) heures, mises à jour mineures hebdomadaires</w:t>
      </w:r>
      <w:r/>
    </w:p>
    <w:p>
      <w:pPr>
        <w:numPr>
          <w:ilvl w:val="0"/>
          <w:numId w:val="12"/>
        </w:numPr>
        <w:pBdr/>
        <w:spacing/>
        <w:ind/>
        <w:rPr/>
      </w:pPr>
      <w:r>
        <w:rPr>
          <w:b/>
          <w:bCs/>
        </w:rPr>
        <w:t xml:space="preserve">Tests de sécurité</w:t>
      </w:r>
      <w:r>
        <w:t xml:space="preserve"> </w:t>
      </w:r>
      <w:r>
        <w:t xml:space="preserve">: tests automatisés OWASP ZAP en pipeline CI/CD, audit annuel de sécurité applicative</w:t>
      </w:r>
      <w:bookmarkEnd w:id="49"/>
      <w:r/>
      <w:r/>
    </w:p>
    <w:p>
      <w:pPr>
        <w:pStyle w:val="972"/>
        <w:pBdr/>
        <w:spacing/>
        <w:ind/>
        <w:rPr/>
      </w:pPr>
      <w:r/>
      <w:bookmarkStart w:id="85" w:name="_Toc32"/>
      <w:r/>
      <w:bookmarkStart w:id="50" w:name="mesures-organisationnelles"/>
      <w:r>
        <w:t xml:space="preserve">Mesures organisationnelles</w:t>
      </w:r>
      <w:bookmarkEnd w:id="85"/>
      <w:r/>
      <w:r/>
    </w:p>
    <w:p>
      <w:pPr>
        <w:numPr>
          <w:ilvl w:val="0"/>
          <w:numId w:val="13"/>
        </w:numPr>
        <w:pBdr/>
        <w:spacing/>
        <w:ind/>
        <w:rPr/>
      </w:pPr>
      <w:r>
        <w:rPr>
          <w:b/>
          <w:bCs/>
        </w:rPr>
        <w:t xml:space="preserve">Confidentialité</w:t>
      </w:r>
      <w:r>
        <w:t xml:space="preserve"> </w:t>
      </w:r>
      <w:r>
        <w:t xml:space="preserve">: engagement de confidentialité signé par toute personne accédant aux données</w:t>
      </w:r>
      <w:r/>
    </w:p>
    <w:p>
      <w:pPr>
        <w:numPr>
          <w:ilvl w:val="0"/>
          <w:numId w:val="13"/>
        </w:numPr>
        <w:pBdr/>
        <w:spacing/>
        <w:ind/>
        <w:rPr/>
      </w:pPr>
      <w:r>
        <w:rPr>
          <w:b/>
          <w:bCs/>
        </w:rPr>
        <w:t xml:space="preserve">Formation RGPD</w:t>
      </w:r>
      <w:r>
        <w:t xml:space="preserve"> </w:t>
      </w:r>
      <w:r>
        <w:t xml:space="preserve">: formation annuelle obligatoire pour toute personne traitant des données à caractère personnel</w:t>
      </w:r>
      <w:r/>
    </w:p>
    <w:p>
      <w:pPr>
        <w:numPr>
          <w:ilvl w:val="0"/>
          <w:numId w:val="13"/>
        </w:numPr>
        <w:pBdr/>
        <w:spacing/>
        <w:ind/>
        <w:rPr/>
      </w:pPr>
      <w:r>
        <w:rPr>
          <w:b/>
          <w:bCs/>
        </w:rPr>
        <w:t xml:space="preserve">Procédure d’incident</w:t>
      </w:r>
      <w:r>
        <w:t xml:space="preserve"> </w:t>
      </w:r>
      <w:r>
        <w:t xml:space="preserve">: procédure documentée de gestion des violations de données, exercices semestriels</w:t>
      </w:r>
      <w:r/>
    </w:p>
    <w:p>
      <w:pPr>
        <w:numPr>
          <w:ilvl w:val="0"/>
          <w:numId w:val="13"/>
        </w:numPr>
        <w:pBdr/>
        <w:spacing/>
        <w:ind/>
        <w:rPr/>
      </w:pPr>
      <w:r>
        <w:rPr>
          <w:b/>
          <w:bCs/>
        </w:rPr>
        <w:t xml:space="preserve">Gestion des accès</w:t>
      </w:r>
      <w:r>
        <w:t xml:space="preserve"> </w:t>
      </w:r>
      <w:r>
        <w:t xml:space="preserve">: provisionnement et déprovisionnement des accès en moins de vingt-quatre (24) heures lors d’un mouvement de personnel</w:t>
      </w:r>
      <w:r/>
    </w:p>
    <w:p>
      <w:pPr>
        <w:numPr>
          <w:ilvl w:val="0"/>
          <w:numId w:val="13"/>
        </w:numPr>
        <w:pBdr/>
        <w:spacing/>
        <w:ind/>
        <w:rPr/>
      </w:pPr>
      <w:r>
        <w:rPr>
          <w:b/>
          <w:bCs/>
        </w:rPr>
        <w:t xml:space="preserve">Politique de sécurité</w:t>
      </w:r>
      <w:r>
        <w:t xml:space="preserve"> </w:t>
      </w:r>
      <w:r>
        <w:t xml:space="preserve">: Politique de Sécurité des Systèmes d’Information (PSSI) écrite, revue annuellement</w:t>
      </w:r>
      <w:r/>
    </w:p>
    <w:p>
      <w:pPr>
        <w:numPr>
          <w:ilvl w:val="0"/>
          <w:numId w:val="13"/>
        </w:numPr>
        <w:pBdr/>
        <w:spacing/>
        <w:ind/>
        <w:rPr/>
      </w:pPr>
      <w:r>
        <w:rPr>
          <w:b/>
          <w:bCs/>
        </w:rPr>
        <w:t xml:space="preserve">Documentation</w:t>
      </w:r>
      <w:r>
        <w:t xml:space="preserve"> </w:t>
      </w:r>
      <w:r>
        <w:t xml:space="preserve">: registre des activités de traitement maintenu à jour, AIPD réalisées sur les traitements à risque</w:t>
      </w:r>
      <w:r/>
    </w:p>
    <w:p>
      <w:pPr>
        <w:numPr>
          <w:ilvl w:val="0"/>
          <w:numId w:val="13"/>
        </w:numPr>
        <w:pBdr/>
        <w:spacing/>
        <w:ind/>
        <w:rPr/>
      </w:pPr>
      <w:r>
        <w:rPr>
          <w:b/>
          <w:bCs/>
        </w:rPr>
        <w:t xml:space="preserve">Délégué à la Protection des Données</w:t>
      </w:r>
      <w:r>
        <w:t xml:space="preserve"> </w:t>
      </w:r>
      <w:r>
        <w:t xml:space="preserve">: non désigné (taille de l’entreprise), point de contact RGPD identifié</w:t>
      </w:r>
      <w:bookmarkEnd w:id="50"/>
      <w:r/>
      <w:r/>
    </w:p>
    <w:p>
      <w:pPr>
        <w:pStyle w:val="972"/>
        <w:pBdr/>
        <w:spacing/>
        <w:ind/>
        <w:rPr/>
      </w:pPr>
      <w:r/>
      <w:bookmarkStart w:id="86" w:name="_Toc33"/>
      <w:r/>
      <w:bookmarkStart w:id="51" w:name="mesures-spécifiques-aux-développements"/>
      <w:r>
        <w:t xml:space="preserve">Mesures spécifiques aux développements</w:t>
      </w:r>
      <w:bookmarkEnd w:id="86"/>
      <w:r/>
      <w:r/>
    </w:p>
    <w:p>
      <w:pPr>
        <w:numPr>
          <w:ilvl w:val="0"/>
          <w:numId w:val="14"/>
        </w:numPr>
        <w:pBdr/>
        <w:spacing/>
        <w:ind/>
        <w:rPr/>
      </w:pPr>
      <w:r>
        <w:rPr>
          <w:b/>
          <w:bCs/>
        </w:rPr>
        <w:t xml:space="preserve">Revue de code</w:t>
      </w:r>
      <w:r>
        <w:t xml:space="preserve"> </w:t>
      </w:r>
      <w:r>
        <w:t xml:space="preserve">: revue obligatoire avant fusion sur la branche principale</w:t>
      </w:r>
      <w:r/>
    </w:p>
    <w:p>
      <w:pPr>
        <w:numPr>
          <w:ilvl w:val="0"/>
          <w:numId w:val="14"/>
        </w:numPr>
        <w:pBdr/>
        <w:spacing/>
        <w:ind/>
        <w:rPr/>
      </w:pPr>
      <w:r>
        <w:rPr>
          <w:b/>
          <w:bCs/>
        </w:rPr>
        <w:t xml:space="preserve">Tests automatisés</w:t>
      </w:r>
      <w:r>
        <w:t xml:space="preserve"> </w:t>
      </w:r>
      <w:r>
        <w:t xml:space="preserve">: tests unitaires, d’intégration et bout-en-bout sur les fonctionnalités sensibles</w:t>
      </w:r>
      <w:r/>
    </w:p>
    <w:p>
      <w:pPr>
        <w:numPr>
          <w:ilvl w:val="0"/>
          <w:numId w:val="14"/>
        </w:numPr>
        <w:pBdr/>
        <w:spacing/>
        <w:ind/>
        <w:rPr/>
      </w:pPr>
      <w:r>
        <w:rPr>
          <w:b/>
          <w:bCs/>
        </w:rPr>
        <w:t xml:space="preserve">Pipeline CI/CD</w:t>
      </w:r>
      <w:r>
        <w:t xml:space="preserve"> </w:t>
      </w:r>
      <w:r>
        <w:t xml:space="preserve">: déploiement automatisé, environnement de recette isolé, rollback en moins de cinq (5) minutes</w:t>
      </w:r>
      <w:r/>
    </w:p>
    <w:p>
      <w:pPr>
        <w:numPr>
          <w:ilvl w:val="0"/>
          <w:numId w:val="14"/>
        </w:numPr>
        <w:pBdr/>
        <w:spacing/>
        <w:ind/>
        <w:rPr/>
      </w:pPr>
      <w:r>
        <w:rPr>
          <w:b/>
          <w:bCs/>
        </w:rPr>
        <w:t xml:space="preserve">Données de test</w:t>
      </w:r>
      <w:r>
        <w:t xml:space="preserve"> </w:t>
      </w:r>
      <w:r>
        <w:t xml:space="preserve">: utilisation de jeux de données synthétiques anonymisés, jamais de données de production en environnement de développement</w:t>
      </w:r>
      <w:bookmarkEnd w:id="51"/>
      <w:r/>
      <w:bookmarkEnd w:id="52"/>
      <w:r/>
      <w:r/>
    </w:p>
    <w:p>
      <w:pPr>
        <w:pStyle w:val="971"/>
        <w:pBdr/>
        <w:spacing/>
        <w:ind/>
        <w:rPr/>
      </w:pPr>
      <w:r/>
      <w:bookmarkStart w:id="87" w:name="_Toc34"/>
      <w:r/>
      <w:bookmarkStart w:id="53" w:name="X02b1e72620b5e9d33cdbe88e5fa2633623cfc00"/>
      <w:r>
        <w:t xml:space="preserve">Annexe 4. Transferts de données hors Union européenne</w:t>
      </w:r>
      <w:bookmarkEnd w:id="87"/>
      <w:r/>
      <w:r/>
    </w:p>
    <w:p>
      <w:pPr>
        <w:pBdr/>
        <w:spacing/>
        <w:ind/>
        <w:rPr/>
      </w:pPr>
      <w:r>
        <w:t xml:space="preserve">Au jour de la signature du présent Accord,</w:t>
      </w:r>
      <w:r>
        <w:t xml:space="preserve"> </w:t>
      </w:r>
      <w:r>
        <w:rPr>
          <w:b/>
          <w:bCs/>
        </w:rPr>
        <w:t xml:space="preserve">aucun transfert</w:t>
      </w:r>
      <w:r>
        <w:t xml:space="preserve"> </w:t>
      </w:r>
      <w:r>
        <w:t xml:space="preserve">de données à caractère personnel hors de l’Union européenne n’est effectué dans le cadre des prestations du Sous-traitant.</w:t>
      </w:r>
      <w:r/>
    </w:p>
    <w:p>
      <w:pPr>
        <w:pBdr/>
        <w:spacing/>
        <w:ind/>
        <w:rPr/>
      </w:pPr>
      <w:r>
        <w:t xml:space="preserve">L’ensemble des données traitées dans le cadre du Contrat Principal est hébergé sur des infrastructures situées en France ou dans l’Union européenne (ou en Suisse, pays bénéficiant d’une décision d’adéquation de la Commission européenne du 26 juillet 2000).</w:t>
      </w:r>
      <w:r/>
    </w:p>
    <w:p>
      <w:pPr>
        <w:pBdr/>
        <w:spacing/>
        <w:ind/>
        <w:rPr/>
      </w:pPr>
      <w:r>
        <w:t xml:space="preserve">Toute évolution de cette politique fera l’objet d’une mise à jour de la présente annexe et d’une information préalable du Responsable de traitement, conformément à l’article 5.9 du présent Accord.</w:t>
      </w:r>
      <w:r/>
    </w:p>
    <w:p>
      <w:pPr>
        <w:pBdr/>
        <w:spacing/>
        <w:ind/>
        <w:rPr/>
      </w:pPr>
      <w:r>
        <mc:AlternateContent>
          <mc:Choice Requires="wpg">
            <w:drawing>
              <wp:inline xmlns:wp="http://schemas.openxmlformats.org/drawingml/2006/wordprocessingDrawing" distT="0" distB="0" distL="0" distR="0">
                <wp:extent cx="0" cy="19050"/>
                <wp:effectExtent l="0" t="0" r="0" b="0"/>
                <wp:docPr id="2" name=""/>
                <wp:cNvGraphicFramePr/>
                <a:graphic xmlns:a="http://schemas.openxmlformats.org/drawingml/2006/main">
                  <a:graphicData uri="http://schemas.microsoft.com/office/word/2010/wordprocessingShape">
                    <wps:wsp>
                      <wps:cNvPr id="0" name=""/>
                      <wps:cNvSpPr/>
                      <wps:spPr bwMode="auto">
                        <a:xfrm>
                          <a:off x="0" y="0"/>
                          <a:ext cx="0" cy="19050"/>
                        </a:xfrm>
                        <a:prstGeom prst="rect">
                          <a:avLst/>
                        </a:prstGeom>
                        <a:solidFill>
                          <a:srgbClr val="FFFFFF"/>
                        </a:solidFill>
                        <a:ln>
                          <a:solidFill>
                            <a:srgbClr val="000000"/>
                          </a:solidFill>
                        </a:ln>
                      </wps:spPr>
                      <wps:bodyPr rot="0">
                        <a:prstTxWarp prst="textNoShape">
                          <a:avLst/>
                        </a:prstTxWarp>
                        <a:noAutofit/>
                      </wps:bodyPr>
                    </wps:wsp>
                  </a:graphicData>
                </a:graphic>
              </wp:inline>
            </w:drawing>
          </mc:Choice>
          <mc:Fallback>
            <w:pict>
              <v:shape id="shape 1" o:spid="_x0000_s1" o:spt="1" type="#_x0000_t1" style="width:0.00pt;height:1.50pt;mso-wrap-distance-left:0.00pt;mso-wrap-distance-top:0.00pt;mso-wrap-distance-right:0.00pt;mso-wrap-distance-bottom:0.00pt;visibility:visible;" fillcolor="#FFFFFF" strokecolor="#000000"/>
            </w:pict>
          </mc:Fallback>
        </mc:AlternateContent>
      </w:r>
      <w:r/>
    </w:p>
    <w:p>
      <w:pPr>
        <w:pBdr/>
        <w:spacing/>
        <w:ind/>
        <w:rPr/>
      </w:pPr>
      <w:r>
        <w:rPr>
          <w:i/>
          <w:iCs/>
        </w:rPr>
        <w:t xml:space="preserve">Document généré par ARDNTECH | Modèle DPA conforme RGPD article 28 | Version 1.0 - Mai 2026</w:t>
      </w:r>
      <w:r/>
    </w:p>
    <w:p>
      <w:pPr>
        <w:pBdr/>
        <w:spacing/>
        <w:ind/>
        <w:rPr/>
      </w:pPr>
      <w:r>
        <w:rPr>
          <w:i/>
          <w:iCs/>
        </w:rPr>
        <w:t xml:space="preserve">Ce modèle est fourni à titre indicatif. Il doit être adapté aux spécificités de chaque projet et validé par un conseil juridique avant signature. ARDNTECH ne saurait être tenue responsable d’une utilisation inadéquate du présent modèle.</w:t>
      </w:r>
      <w:bookmarkEnd w:id="53"/>
      <w:r/>
      <w:r/>
    </w:p>
    <w:sectPr>
      <w:headerReference w:type="default" r:id="rId9"/>
      <w:footerReference w:type="default" r:id="rId10"/>
      <w:footnotePr/>
      <w:endnotePr/>
      <w:type w:val="nextPage"/>
      <w:pgSz w:h="16838" w:orient="portrait" w:w="11906"/>
      <w:pgMar w:top="720" w:right="720" w:bottom="720" w:left="720" w:header="709" w:footer="709" w:gutter="0"/>
      <w:cols w:num="1" w:sep="0" w:space="708"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ourier New">
    <w:panose1 w:val="02070409020205020404"/>
  </w:font>
  <w:font w:name="Funnel Display"/>
  <w:font w:name="Arial">
    <w:panose1 w:val="020B0604020202020204"/>
  </w:font>
  <w:font w:name="Calibri">
    <w:panose1 w:val="020F0502020204030204"/>
  </w:font>
  <w:font w:name="Times New Roman">
    <w:panose1 w:val="020206030504050203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5B875DF2">
    <w:pPr>
      <w:pStyle w:val="1007"/>
      <w:pBdr/>
      <w:spacing/>
      <w:ind/>
      <w:jc w:val="right"/>
      <w:rPr/>
    </w:pPr>
    <w:fldSimple w:instr="PAGE \* MERGEFORMAT">
      <w:r>
        <w:t xml:space="preserve">1</w:t>
      </w:r>
    </w:fldSimple>
    <w:r/>
    <w:r/>
  </w:p>
  <w:p w14:paraId="4A6B35A0">
    <w:pPr>
      <w:pStyle w:val="1007"/>
      <w:pBdr/>
      <w:spacing/>
      <w:ind/>
      <w:rPr/>
    </w:pP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Style w:val="845"/>
      <w:tblInd w:w="-68" w:type="dxa"/>
      <w:tblW w:w="5130" w:type="pct"/>
      <w:tblBorders/>
      <w:tblLayout w:type="fixed"/>
      <w:tblLook w:val="04A0" w:firstRow="1" w:lastRow="0" w:firstColumn="1" w:lastColumn="0" w:noHBand="0" w:noVBand="1"/>
    </w:tblPr>
    <w:tblGrid>
      <w:gridCol w:w="3096"/>
      <w:gridCol w:w="4322"/>
      <w:gridCol w:w="3320"/>
    </w:tblGrid>
    <w:tr>
      <w:trPr>
        <w:trHeight w:val="410"/>
      </w:trPr>
      <w:tc>
        <w:tcPr>
          <w:tcBorders/>
          <w:tcW w:w="2768" w:type="dxa"/>
          <w:vAlign w:val="center"/>
          <w:vMerge w:val="restart"/>
          <w:textDirection w:val="lrTb"/>
          <w:noWrap w:val="false"/>
        </w:tcPr>
        <w:p>
          <w:pPr>
            <w:pStyle w:val="1005"/>
            <w:pBdr/>
            <w:spacing/>
            <w:ind/>
            <w:jc w:val="center"/>
            <w:rPr>
              <w:rFonts w:ascii="Funnel Display" w:hAnsi="Funnel Display" w:cs="Funnel Display"/>
              <w:color w:val="352f66"/>
            </w:rPr>
          </w:pPr>
          <w:r>
            <w:rPr>
              <w:rFonts w:ascii="Funnel Display" w:hAnsi="Funnel Display" w:eastAsia="Funnel Display" w:cs="Funnel Display"/>
              <w:color w:val="352f66"/>
            </w:rPr>
          </w:r>
          <w:r>
            <w:rPr>
              <w:rFonts w:ascii="Funnel Display" w:hAnsi="Funnel Display" w:eastAsia="Funnel Display" w:cs="Funnel Display"/>
              <w:color w:val="352f66"/>
            </w:rPr>
            <mc:AlternateContent>
              <mc:Choice Requires="wpg">
                <w:drawing>
                  <wp:inline xmlns:wp="http://schemas.openxmlformats.org/drawingml/2006/wordprocessingDrawing" distT="0" distB="0" distL="0" distR="0">
                    <wp:extent cx="1620635" cy="422128"/>
                    <wp:effectExtent l="0" t="0" r="0" b="0"/>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550715" name=""/>
                            <pic:cNvPicPr>
                              <a:picLocks noChangeAspect="1"/>
                            </pic:cNvPicPr>
                            <pic:nvPr/>
                          </pic:nvPicPr>
                          <pic:blipFill rotWithShape="1">
                            <a:blip r:embed="rId1">
                              <a:extLst>
                                <a:ext uri="{96DAC541-7B7A-43D3-8B79-37D633B846F1}">
                                  <asvg:svgBlip xmlns:asvg="http://schemas.microsoft.com/office/drawing/2016/SVG/main" r:embed="rId2"/>
                                </a:ext>
                              </a:extLst>
                            </a:blip>
                            <a:stretch/>
                          </pic:blipFill>
                          <pic:spPr bwMode="auto">
                            <a:xfrm flipH="0" flipV="0">
                              <a:off x="0" y="0"/>
                              <a:ext cx="1620634" cy="42212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127.61pt;height:33.24pt;mso-wrap-distance-left:0.00pt;mso-wrap-distance-top:0.00pt;mso-wrap-distance-right:0.00pt;mso-wrap-distance-bottom:0.00pt;z-index:1;" stroked="false">
                    <v:imagedata r:id="rId1" o:title=""/>
                    <o:lock v:ext="edit" rotation="t"/>
                  </v:shape>
                </w:pict>
              </mc:Fallback>
            </mc:AlternateContent>
          </w:r>
          <w:r>
            <w:rPr>
              <w:rFonts w:ascii="Funnel Display" w:hAnsi="Funnel Display" w:cs="Funnel Display"/>
              <w:color w:val="352f66"/>
            </w:rPr>
          </w:r>
          <w:r>
            <w:rPr>
              <w:rFonts w:ascii="Funnel Display" w:hAnsi="Funnel Display" w:cs="Funnel Display"/>
              <w:color w:val="352f66"/>
            </w:rPr>
          </w:r>
        </w:p>
      </w:tc>
      <w:tc>
        <w:tcPr>
          <w:tcBorders/>
          <w:tcW w:w="3863" w:type="dxa"/>
          <w:vAlign w:val="center"/>
          <w:textDirection w:val="lrTb"/>
          <w:noWrap w:val="false"/>
        </w:tcPr>
        <w:p>
          <w:pPr>
            <w:pBdr/>
            <w:spacing/>
            <w:ind/>
            <w:jc w:val="center"/>
            <w:rPr>
              <w:rFonts w:ascii="Funnel Display" w:hAnsi="Funnel Display" w:cs="Funnel Display"/>
              <w:color w:val="352f66"/>
              <w:szCs w:val="24"/>
            </w:rPr>
          </w:pPr>
          <w:r>
            <w:rPr>
              <w:rFonts w:ascii="Funnel Display" w:hAnsi="Funnel Display" w:eastAsia="Funnel Display" w:cs="Funnel Display"/>
              <w:color w:val="352f66"/>
              <w:szCs w:val="24"/>
            </w:rPr>
          </w:r>
          <w:r>
            <w:rPr>
              <w:rFonts w:ascii="Funnel Display" w:hAnsi="Funnel Display" w:eastAsia="Funnel Display" w:cs="Funnel Display"/>
              <w:color w:val="352f66"/>
              <w:szCs w:val="24"/>
            </w:rPr>
            <w:t xml:space="preserve">Modèle DPA</w:t>
          </w:r>
          <w:r>
            <w:rPr>
              <w:rFonts w:ascii="Funnel Display" w:hAnsi="Funnel Display" w:cs="Funnel Display"/>
              <w:color w:val="352f66"/>
              <w:szCs w:val="24"/>
            </w:rPr>
          </w:r>
          <w:r>
            <w:rPr>
              <w:rFonts w:ascii="Funnel Display" w:hAnsi="Funnel Display" w:cs="Funnel Display"/>
              <w:color w:val="352f66"/>
              <w:szCs w:val="24"/>
            </w:rPr>
          </w:r>
        </w:p>
      </w:tc>
      <w:tc>
        <w:tcPr>
          <w:tcBorders/>
          <w:tcW w:w="3320" w:type="dxa"/>
          <w:vAlign w:val="center"/>
          <w:textDirection w:val="lrTb"/>
          <w:noWrap w:val="false"/>
        </w:tcPr>
        <w:p>
          <w:pPr>
            <w:pStyle w:val="1005"/>
            <w:pBdr/>
            <w:spacing/>
            <w:ind/>
            <w:rPr>
              <w:rFonts w:ascii="Funnel Display" w:hAnsi="Funnel Display" w:cs="Funnel Display"/>
              <w:color w:val="352f66"/>
            </w:rPr>
          </w:pPr>
          <w:r>
            <w:rPr>
              <w:rFonts w:ascii="Funnel Display" w:hAnsi="Funnel Display" w:eastAsia="Funnel Display" w:cs="Funnel Display"/>
              <w:b/>
              <w:bCs/>
              <w:color w:val="352f66"/>
            </w:rPr>
            <w:t xml:space="preserve">Version</w:t>
          </w:r>
          <w:r>
            <w:rPr>
              <w:rFonts w:ascii="Funnel Display" w:hAnsi="Funnel Display" w:eastAsia="Funnel Display" w:cs="Funnel Display"/>
              <w:color w:val="352f66"/>
            </w:rPr>
            <w:t xml:space="preserve"> :</w:t>
          </w:r>
          <w:r>
            <w:rPr>
              <w:rFonts w:ascii="Funnel Display" w:hAnsi="Funnel Display" w:eastAsia="Funnel Display" w:cs="Funnel Display"/>
              <w:color w:val="352f66"/>
            </w:rPr>
            <w:t xml:space="preserve"> </w:t>
          </w:r>
          <w:r>
            <w:rPr>
              <w:rFonts w:ascii="Funnel Display" w:hAnsi="Funnel Display" w:eastAsia="Funnel Display" w:cs="Funnel Display"/>
              <w:color w:val="352f66"/>
            </w:rPr>
            <w:t xml:space="preserve">V</w:t>
          </w:r>
          <w:r>
            <w:rPr>
              <w:rFonts w:ascii="Funnel Display" w:hAnsi="Funnel Display" w:eastAsia="Funnel Display" w:cs="Funnel Display"/>
              <w:color w:val="352f66"/>
            </w:rPr>
            <w:t xml:space="preserve">1.0</w:t>
          </w:r>
          <w:r>
            <w:rPr>
              <w:rFonts w:ascii="Funnel Display" w:hAnsi="Funnel Display" w:cs="Funnel Display"/>
              <w:color w:val="352f66"/>
            </w:rPr>
          </w:r>
          <w:r>
            <w:rPr>
              <w:rFonts w:ascii="Funnel Display" w:hAnsi="Funnel Display" w:cs="Funnel Display"/>
              <w:color w:val="352f66"/>
            </w:rPr>
          </w:r>
        </w:p>
      </w:tc>
    </w:tr>
    <w:tr>
      <w:trPr/>
      <w:tc>
        <w:tcPr>
          <w:tcBorders/>
          <w:tcW w:w="2768" w:type="dxa"/>
          <w:vMerge w:val="continue"/>
          <w:textDirection w:val="lrTb"/>
          <w:noWrap w:val="false"/>
        </w:tcPr>
        <w:p>
          <w:pPr>
            <w:pStyle w:val="1005"/>
            <w:pBdr/>
            <w:spacing/>
            <w:ind/>
            <w:rPr/>
          </w:pPr>
          <w:r/>
          <w:r/>
        </w:p>
      </w:tc>
      <w:tc>
        <w:tcPr>
          <w:tcBorders/>
          <w:tcW w:w="3863" w:type="dxa"/>
          <w:vAlign w:val="center"/>
          <w:textDirection w:val="lrTb"/>
          <w:noWrap w:val="false"/>
        </w:tcPr>
        <w:p>
          <w:pPr>
            <w:pStyle w:val="1005"/>
            <w:pBdr/>
            <w:spacing/>
            <w:ind/>
            <w:jc w:val="left"/>
            <w:rPr>
              <w:rFonts w:ascii="Funnel Display" w:hAnsi="Funnel Display" w:cs="Funnel Display"/>
              <w:color w:val="352f66"/>
              <w:szCs w:val="24"/>
            </w:rPr>
          </w:pPr>
          <w:r>
            <w:rPr>
              <w:rFonts w:ascii="Funnel Display" w:hAnsi="Funnel Display" w:eastAsia="Funnel Display" w:cs="Funnel Display"/>
              <w:color w:val="352f66"/>
              <w:sz w:val="22"/>
            </w:rPr>
          </w:r>
          <w:r>
            <w:rPr>
              <w:rFonts w:ascii="Funnel Display" w:hAnsi="Funnel Display" w:eastAsia="Funnel Display" w:cs="Funnel Display"/>
              <w:color w:val="352f66"/>
              <w:sz w:val="22"/>
            </w:rPr>
            <w:t xml:space="preserve">Data Processing Agreement | Accord de traitement de données conforme RGPD</w:t>
          </w:r>
          <w:r>
            <w:rPr>
              <w:rFonts w:ascii="Funnel Display" w:hAnsi="Funnel Display" w:cs="Funnel Display"/>
              <w:color w:val="352f66"/>
              <w:szCs w:val="24"/>
            </w:rPr>
          </w:r>
          <w:r>
            <w:rPr>
              <w:rFonts w:ascii="Funnel Display" w:hAnsi="Funnel Display" w:cs="Funnel Display"/>
              <w:color w:val="352f66"/>
              <w:szCs w:val="24"/>
            </w:rPr>
          </w:r>
        </w:p>
      </w:tc>
      <w:tc>
        <w:tcPr>
          <w:tcBorders/>
          <w:tcW w:w="3320" w:type="dxa"/>
          <w:textDirection w:val="lrTb"/>
          <w:noWrap w:val="false"/>
        </w:tcPr>
        <w:p>
          <w:pPr>
            <w:pStyle w:val="1005"/>
            <w:pBdr/>
            <w:spacing/>
            <w:ind/>
            <w:rPr>
              <w:rFonts w:ascii="Funnel Display" w:hAnsi="Funnel Display" w:cs="Funnel Display"/>
              <w:color w:val="352f66"/>
            </w:rPr>
          </w:pPr>
          <w:r>
            <w:rPr>
              <w:rFonts w:ascii="Funnel Display" w:hAnsi="Funnel Display" w:eastAsia="Funnel Display" w:cs="Funnel Display"/>
              <w:b/>
              <w:bCs/>
              <w:color w:val="352f66"/>
            </w:rPr>
            <w:t xml:space="preserve">Créé </w:t>
          </w:r>
          <w:r>
            <w:rPr>
              <w:rFonts w:ascii="Funnel Display" w:hAnsi="Funnel Display" w:eastAsia="Funnel Display" w:cs="Funnel Display"/>
              <w:b/>
              <w:bCs/>
              <w:color w:val="352f66"/>
            </w:rPr>
            <w:t xml:space="preserve">le</w:t>
          </w:r>
          <w:r>
            <w:rPr>
              <w:rFonts w:ascii="Funnel Display" w:hAnsi="Funnel Display" w:eastAsia="Funnel Display" w:cs="Funnel Display"/>
              <w:b/>
              <w:bCs/>
              <w:color w:val="352f66"/>
            </w:rPr>
            <w:t xml:space="preserve"> </w:t>
          </w:r>
          <w:r>
            <w:rPr>
              <w:rFonts w:ascii="Funnel Display" w:hAnsi="Funnel Display" w:eastAsia="Funnel Display" w:cs="Funnel Display"/>
              <w:color w:val="352f66"/>
            </w:rPr>
            <w:t xml:space="preserve">:</w:t>
          </w:r>
          <w:r>
            <w:rPr>
              <w:rFonts w:ascii="Funnel Display" w:hAnsi="Funnel Display" w:eastAsia="Funnel Display" w:cs="Funnel Display"/>
              <w:color w:val="352f66"/>
            </w:rPr>
            <w:t xml:space="preserve"> </w:t>
          </w:r>
          <w:r>
            <w:rPr>
              <w:rFonts w:ascii="Funnel Display" w:hAnsi="Funnel Display" w:eastAsia="Funnel Display" w:cs="Funnel Display"/>
              <w:color w:val="352f66"/>
            </w:rPr>
            <w:t xml:space="preserve">19/05/2026</w:t>
          </w:r>
          <w:r>
            <w:rPr>
              <w:rFonts w:ascii="Funnel Display" w:hAnsi="Funnel Display" w:cs="Funnel Display"/>
              <w:color w:val="352f66"/>
            </w:rPr>
          </w:r>
          <w:r>
            <w:rPr>
              <w:rFonts w:ascii="Funnel Display" w:hAnsi="Funnel Display" w:cs="Funnel Display"/>
              <w:color w:val="352f66"/>
            </w:rPr>
          </w:r>
        </w:p>
        <w:p>
          <w:pPr>
            <w:pStyle w:val="1005"/>
            <w:pBdr/>
            <w:spacing/>
            <w:ind/>
            <w:rPr>
              <w:rFonts w:ascii="Funnel Display" w:hAnsi="Funnel Display" w:cs="Funnel Display"/>
              <w:color w:val="352f66"/>
            </w:rPr>
          </w:pPr>
          <w:r>
            <w:rPr>
              <w:rFonts w:ascii="Funnel Display" w:hAnsi="Funnel Display" w:eastAsia="Funnel Display" w:cs="Funnel Display"/>
              <w:b/>
              <w:bCs/>
              <w:color w:val="352f66"/>
            </w:rPr>
            <w:t xml:space="preserve">Modifié le :</w:t>
          </w:r>
          <w:r>
            <w:rPr>
              <w:rFonts w:ascii="Funnel Display" w:hAnsi="Funnel Display" w:eastAsia="Funnel Display" w:cs="Funnel Display"/>
              <w:b/>
              <w:bCs/>
              <w:color w:val="352f66"/>
            </w:rPr>
            <w:t xml:space="preserve"> </w:t>
          </w:r>
          <w:r>
            <w:rPr>
              <w:rFonts w:ascii="Funnel Display" w:hAnsi="Funnel Display" w:eastAsia="Funnel Display" w:cs="Funnel Display"/>
              <w:color w:val="352f66"/>
            </w:rPr>
            <w:t xml:space="preserve">19/05/2026</w:t>
          </w:r>
          <w:r>
            <w:rPr>
              <w:rFonts w:ascii="Funnel Display" w:hAnsi="Funnel Display" w:cs="Funnel Display"/>
              <w:color w:val="352f66"/>
            </w:rPr>
          </w:r>
          <w:r>
            <w:rPr>
              <w:rFonts w:ascii="Funnel Display" w:hAnsi="Funnel Display" w:cs="Funnel Display"/>
              <w:color w:val="352f66"/>
            </w:rPr>
          </w:r>
        </w:p>
      </w:tc>
    </w:tr>
  </w:tbl>
  <w:p>
    <w:pPr>
      <w:pStyle w:val="1005"/>
      <w:pBdr/>
      <w:spacing/>
      <w:ind/>
      <w:rPr>
        <w:rFonts w:ascii="Funnel Display" w:hAnsi="Funnel Display" w:cs="Funnel Display"/>
        <w:color w:val="352f66"/>
      </w:rPr>
    </w:pPr>
    <w:r>
      <w:rPr>
        <w:rFonts w:ascii="Funnel Display" w:hAnsi="Funnel Display" w:eastAsia="Funnel Display" w:cs="Funnel Display"/>
        <w:color w:val="352f66"/>
      </w:rPr>
    </w:r>
    <w:r>
      <w:rPr>
        <w:rFonts w:ascii="Funnel Display" w:hAnsi="Funnel Display" w:cs="Funnel Display"/>
        <w:color w:val="352f66"/>
      </w:rPr>
    </w:r>
    <w:r>
      <w:rPr>
        <w:rFonts w:ascii="Funnel Display" w:hAnsi="Funnel Display" w:cs="Funnel Display"/>
        <w:color w:val="352f66"/>
      </w:r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400741"/>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1">
    <w:nsid w:val="4D56A8B7"/>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2">
    <w:nsid w:val="0000A990"/>
    <w:lvl w:ilvl="0">
      <w:isLgl w:val="false"/>
      <w:lvlJc w:val="left"/>
      <w:lvlText w:val=" "/>
      <w:numFmt w:val="bullet"/>
      <w:pPr>
        <w:pBdr/>
        <w:spacing/>
        <w:ind w:hanging="480" w:left="720"/>
      </w:pPr>
      <w:rPr/>
      <w:start w:val="0"/>
      <w:suff w:val="tab"/>
    </w:lvl>
    <w:lvl w:ilvl="1">
      <w:isLgl w:val="false"/>
      <w:lvlJc w:val="left"/>
      <w:lvlText w:val=" "/>
      <w:numFmt w:val="bullet"/>
      <w:pPr>
        <w:pBdr/>
        <w:spacing/>
        <w:ind w:hanging="480" w:left="1440"/>
      </w:pPr>
      <w:rPr/>
      <w:start w:val="0"/>
      <w:suff w:val="tab"/>
    </w:lvl>
    <w:lvl w:ilvl="2">
      <w:isLgl w:val="false"/>
      <w:lvlJc w:val="left"/>
      <w:lvlText w:val=" "/>
      <w:numFmt w:val="bullet"/>
      <w:pPr>
        <w:pBdr/>
        <w:spacing/>
        <w:ind w:hanging="480" w:left="2160"/>
      </w:pPr>
      <w:rPr/>
      <w:start w:val="0"/>
      <w:suff w:val="tab"/>
    </w:lvl>
    <w:lvl w:ilvl="3">
      <w:isLgl w:val="false"/>
      <w:lvlJc w:val="left"/>
      <w:lvlText w:val=" "/>
      <w:numFmt w:val="bullet"/>
      <w:pPr>
        <w:pBdr/>
        <w:spacing/>
        <w:ind w:hanging="480" w:left="2880"/>
      </w:pPr>
      <w:rPr/>
      <w:start w:val="0"/>
      <w:suff w:val="tab"/>
    </w:lvl>
    <w:lvl w:ilvl="4">
      <w:isLgl w:val="false"/>
      <w:lvlJc w:val="left"/>
      <w:lvlText w:val=" "/>
      <w:numFmt w:val="bullet"/>
      <w:pPr>
        <w:pBdr/>
        <w:spacing/>
        <w:ind w:hanging="480" w:left="3600"/>
      </w:pPr>
      <w:rPr/>
      <w:start w:val="0"/>
      <w:suff w:val="tab"/>
    </w:lvl>
    <w:lvl w:ilvl="5">
      <w:isLgl w:val="false"/>
      <w:lvlJc w:val="left"/>
      <w:lvlText w:val=" "/>
      <w:numFmt w:val="bullet"/>
      <w:pPr>
        <w:pBdr/>
        <w:spacing/>
        <w:ind w:hanging="480" w:left="4320"/>
      </w:pPr>
      <w:rPr/>
      <w:start w:val="0"/>
      <w:suff w:val="tab"/>
    </w:lvl>
    <w:lvl w:ilvl="6">
      <w:isLgl w:val="false"/>
      <w:lvlJc w:val="left"/>
      <w:lvlText w:val=" "/>
      <w:numFmt w:val="bullet"/>
      <w:pPr>
        <w:pBdr/>
        <w:spacing/>
        <w:ind w:hanging="480" w:left="5040"/>
      </w:pPr>
      <w:rPr/>
      <w:start w:val="0"/>
      <w:suff w:val="tab"/>
    </w:lvl>
    <w:lvl w:ilvl="7">
      <w:isLgl w:val="false"/>
      <w:lvlJc w:val="left"/>
      <w:lvlText w:val=" "/>
      <w:numFmt w:val="bullet"/>
      <w:pPr>
        <w:pBdr/>
        <w:spacing/>
        <w:ind w:hanging="480" w:left="5760"/>
      </w:pPr>
      <w:rPr/>
      <w:start w:val="0"/>
      <w:suff w:val="tab"/>
    </w:lvl>
    <w:lvl w:ilvl="8">
      <w:isLgl w:val="false"/>
      <w:lvlJc w:val="left"/>
      <w:lvlText w:val=" "/>
      <w:numFmt w:val="bullet"/>
      <w:pPr>
        <w:pBdr/>
        <w:spacing/>
        <w:ind w:hanging="480" w:left="6480"/>
      </w:pPr>
      <w:rPr/>
      <w:start w:val="0"/>
      <w:suff w:val="tab"/>
    </w:lvl>
  </w:abstractNum>
  <w:abstractNum w:abstractNumId="3">
    <w:nsid w:val="0000A991"/>
    <w:lvl w:ilvl="0">
      <w:isLgl w:val="false"/>
      <w:lvlJc w:val="left"/>
      <w:lvlText w:val="•"/>
      <w:numFmt w:val="bullet"/>
      <w:pPr>
        <w:pBdr/>
        <w:spacing/>
        <w:ind w:hanging="480" w:left="720"/>
      </w:pPr>
      <w:rPr/>
      <w:start w:val="0"/>
      <w:suff w:val="tab"/>
    </w:lvl>
    <w:lvl w:ilvl="1">
      <w:isLgl w:val="false"/>
      <w:lvlJc w:val="left"/>
      <w:lvlText w:val="–"/>
      <w:numFmt w:val="bullet"/>
      <w:pPr>
        <w:pBdr/>
        <w:spacing/>
        <w:ind w:hanging="480" w:left="1440"/>
      </w:pPr>
      <w:rPr/>
      <w:start w:val="0"/>
      <w:suff w:val="tab"/>
    </w:lvl>
    <w:lvl w:ilvl="2">
      <w:isLgl w:val="false"/>
      <w:lvlJc w:val="left"/>
      <w:lvlText w:val="•"/>
      <w:numFmt w:val="bullet"/>
      <w:pPr>
        <w:pBdr/>
        <w:spacing/>
        <w:ind w:hanging="480" w:left="2160"/>
      </w:pPr>
      <w:rPr/>
      <w:start w:val="0"/>
      <w:suff w:val="tab"/>
    </w:lvl>
    <w:lvl w:ilvl="3">
      <w:isLgl w:val="false"/>
      <w:lvlJc w:val="left"/>
      <w:lvlText w:val="–"/>
      <w:numFmt w:val="bullet"/>
      <w:pPr>
        <w:pBdr/>
        <w:spacing/>
        <w:ind w:hanging="480" w:left="2880"/>
      </w:pPr>
      <w:rPr/>
      <w:start w:val="0"/>
      <w:suff w:val="tab"/>
    </w:lvl>
    <w:lvl w:ilvl="4">
      <w:isLgl w:val="false"/>
      <w:lvlJc w:val="left"/>
      <w:lvlText w:val="•"/>
      <w:numFmt w:val="bullet"/>
      <w:pPr>
        <w:pBdr/>
        <w:spacing/>
        <w:ind w:hanging="480" w:left="3600"/>
      </w:pPr>
      <w:rPr/>
      <w:start w:val="0"/>
      <w:suff w:val="tab"/>
    </w:lvl>
    <w:lvl w:ilvl="5">
      <w:isLgl w:val="false"/>
      <w:lvlJc w:val="left"/>
      <w:lvlText w:val="–"/>
      <w:numFmt w:val="bullet"/>
      <w:pPr>
        <w:pBdr/>
        <w:spacing/>
        <w:ind w:hanging="480" w:left="4320"/>
      </w:pPr>
      <w:rPr/>
      <w:start w:val="0"/>
      <w:suff w:val="tab"/>
    </w:lvl>
    <w:lvl w:ilvl="6">
      <w:isLgl w:val="false"/>
      <w:lvlJc w:val="left"/>
      <w:lvlText w:val="•"/>
      <w:numFmt w:val="bullet"/>
      <w:pPr>
        <w:pBdr/>
        <w:spacing/>
        <w:ind w:hanging="480" w:left="5040"/>
      </w:pPr>
      <w:rPr/>
      <w:start w:val="0"/>
      <w:suff w:val="tab"/>
    </w:lvl>
    <w:lvl w:ilvl="7">
      <w:isLgl w:val="false"/>
      <w:lvlJc w:val="left"/>
      <w:lvlText w:val="–"/>
      <w:numFmt w:val="bullet"/>
      <w:pPr>
        <w:pBdr/>
        <w:spacing/>
        <w:ind w:hanging="480" w:left="5760"/>
      </w:pPr>
      <w:rPr/>
      <w:start w:val="0"/>
      <w:suff w:val="tab"/>
    </w:lvl>
    <w:lvl w:ilvl="8">
      <w:isLgl w:val="false"/>
      <w:lvlJc w:val="left"/>
      <w:lvlText w:val="•"/>
      <w:numFmt w:val="bullet"/>
      <w:pPr>
        <w:pBdr/>
        <w:spacing/>
        <w:ind w:hanging="480" w:left="6480"/>
      </w:pPr>
      <w:rPr/>
      <w:start w:val="0"/>
      <w:suff w:val="tab"/>
    </w:lvl>
  </w:abstractNum>
  <w:num w:numId="1">
    <w:abstractNumId w:val="0"/>
  </w:num>
  <w:num w:numId="2">
    <w:abstractNumId w:val="1"/>
  </w:num>
  <w:num w:numId="3">
    <w:abstractNumId w:val="2"/>
  </w:num>
  <w:num w:numId="4">
    <w:abstractNumId w:val="3"/>
  </w:num>
  <w:num w:numId="5">
    <w:abstractNumId w:val="3"/>
  </w:num>
  <w:num w:numId="6">
    <w:abstractNumId w:val="3"/>
  </w:num>
  <w:num w:numId="7">
    <w:abstractNumId w:val="3"/>
  </w:num>
  <w:num w:numId="8">
    <w:abstractNumId w:val="3"/>
  </w:num>
  <w:num w:numId="9">
    <w:abstractNumId w:val="3"/>
  </w:num>
  <w:num w:numId="10">
    <w:abstractNumId w:val="3"/>
  </w:num>
  <w:num w:numId="11">
    <w:abstractNumId w:val="3"/>
  </w:num>
  <w:num w:numId="12">
    <w:abstractNumId w:val="3"/>
  </w:num>
  <w:num w:numId="13">
    <w:abstractNumId w:val="3"/>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fr-FR"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5">
    <w:name w:val="Table Grid"/>
    <w:basedOn w:val="1031"/>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Table Grid Light"/>
    <w:basedOn w:val="103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Plain Table 1"/>
    <w:basedOn w:val="103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Plain Table 2"/>
    <w:basedOn w:val="1031"/>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Plain Table 3"/>
    <w:basedOn w:val="103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Plain Table 4"/>
    <w:basedOn w:val="103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Plain Table 5"/>
    <w:basedOn w:val="103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1 Light"/>
    <w:basedOn w:val="103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 Accent 1"/>
    <w:basedOn w:val="103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1 Light - Accent 2"/>
    <w:basedOn w:val="103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1 Light - Accent 3"/>
    <w:basedOn w:val="103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1 Light - Accent 4"/>
    <w:basedOn w:val="103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1 Light - Accent 5"/>
    <w:basedOn w:val="103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1 Light - Accent 6"/>
    <w:basedOn w:val="103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2"/>
    <w:basedOn w:val="103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 Accent 1"/>
    <w:basedOn w:val="103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2 - Accent 2"/>
    <w:basedOn w:val="103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2 - Accent 3"/>
    <w:basedOn w:val="103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2 - Accent 4"/>
    <w:basedOn w:val="103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2 - Accent 5"/>
    <w:basedOn w:val="103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2 - Accent 6"/>
    <w:basedOn w:val="103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3"/>
    <w:basedOn w:val="103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 Accent 1"/>
    <w:basedOn w:val="103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3 - Accent 2"/>
    <w:basedOn w:val="103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3 - Accent 3"/>
    <w:basedOn w:val="103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3 - Accent 4"/>
    <w:basedOn w:val="103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3 - Accent 5"/>
    <w:basedOn w:val="103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3 - Accent 6"/>
    <w:basedOn w:val="103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4"/>
    <w:basedOn w:val="103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 Accent 1"/>
    <w:basedOn w:val="103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4 - Accent 2"/>
    <w:basedOn w:val="103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4 - Accent 3"/>
    <w:basedOn w:val="103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4 - Accent 4"/>
    <w:basedOn w:val="103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4 - Accent 5"/>
    <w:basedOn w:val="103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4 - Accent 6"/>
    <w:basedOn w:val="103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5 Dark"/>
    <w:basedOn w:val="103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Accent 1"/>
    <w:basedOn w:val="103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5 Dark - Accent 2"/>
    <w:basedOn w:val="103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5 Dark - Accent 3"/>
    <w:basedOn w:val="103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5 Dark- Accent 4"/>
    <w:basedOn w:val="103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5 Dark - Accent 5"/>
    <w:basedOn w:val="103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5 Dark - Accent 6"/>
    <w:basedOn w:val="103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6 Colorful"/>
    <w:basedOn w:val="103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8">
    <w:name w:val="Grid Table 6 Colorful - Accent 1"/>
    <w:basedOn w:val="103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9">
    <w:name w:val="Grid Table 6 Colorful - Accent 2"/>
    <w:basedOn w:val="103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90">
    <w:name w:val="Grid Table 6 Colorful - Accent 3"/>
    <w:basedOn w:val="103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91">
    <w:name w:val="Grid Table 6 Colorful - Accent 4"/>
    <w:basedOn w:val="103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92">
    <w:name w:val="Grid Table 6 Colorful - Accent 5"/>
    <w:basedOn w:val="103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3">
    <w:name w:val="Grid Table 6 Colorful - Accent 6"/>
    <w:basedOn w:val="103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4">
    <w:name w:val="Grid Table 7 Colorful"/>
    <w:basedOn w:val="103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7 Colorful - Accent 1"/>
    <w:basedOn w:val="103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07abd"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7 Colorful - Accent 2"/>
    <w:basedOn w:val="103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7 Colorful - Accent 3"/>
    <w:basedOn w:val="103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16161"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7 Colorful - Accent 4"/>
    <w:basedOn w:val="103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Grid Table 7 Colorful - Accent 5"/>
    <w:basedOn w:val="103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54275"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Grid Table 7 Colorful - Accent 6"/>
    <w:basedOn w:val="103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16529"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1 Light"/>
    <w:basedOn w:val="103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 Accent 1"/>
    <w:basedOn w:val="103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1 Light - Accent 2"/>
    <w:basedOn w:val="103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1 Light - Accent 3"/>
    <w:basedOn w:val="103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1 Light - Accent 4"/>
    <w:basedOn w:val="103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1 Light - Accent 5"/>
    <w:basedOn w:val="103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1 Light - Accent 6"/>
    <w:basedOn w:val="103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2"/>
    <w:basedOn w:val="103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 Accent 1"/>
    <w:basedOn w:val="103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2 - Accent 2"/>
    <w:basedOn w:val="103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2 - Accent 3"/>
    <w:basedOn w:val="103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2 - Accent 4"/>
    <w:basedOn w:val="103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2 - Accent 5"/>
    <w:basedOn w:val="103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2 - Accent 6"/>
    <w:basedOn w:val="103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3"/>
    <w:basedOn w:val="103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 Accent 1"/>
    <w:basedOn w:val="103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3 - Accent 2"/>
    <w:basedOn w:val="103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3 - Accent 3"/>
    <w:basedOn w:val="103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3 - Accent 4"/>
    <w:basedOn w:val="103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3 - Accent 5"/>
    <w:basedOn w:val="103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3 - Accent 6"/>
    <w:basedOn w:val="103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4"/>
    <w:basedOn w:val="103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 Accent 1"/>
    <w:basedOn w:val="103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4 - Accent 2"/>
    <w:basedOn w:val="103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4 - Accent 3"/>
    <w:basedOn w:val="103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4 - Accent 4"/>
    <w:basedOn w:val="103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4 - Accent 5"/>
    <w:basedOn w:val="103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4 - Accent 6"/>
    <w:basedOn w:val="103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5 Dark"/>
    <w:basedOn w:val="103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0">
    <w:name w:val="List Table 5 Dark - Accent 1"/>
    <w:basedOn w:val="103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5 Dark - Accent 2"/>
    <w:basedOn w:val="103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2">
    <w:name w:val="List Table 5 Dark - Accent 3"/>
    <w:basedOn w:val="103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3">
    <w:name w:val="List Table 5 Dark - Accent 4"/>
    <w:basedOn w:val="103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4">
    <w:name w:val="List Table 5 Dark - Accent 5"/>
    <w:basedOn w:val="103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5">
    <w:name w:val="List Table 5 Dark - Accent 6"/>
    <w:basedOn w:val="103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6">
    <w:name w:val="List Table 6 Colorful"/>
    <w:basedOn w:val="103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6 Colorful - Accent 1"/>
    <w:basedOn w:val="103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6 Colorful - Accent 2"/>
    <w:basedOn w:val="103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6 Colorful - Accent 3"/>
    <w:basedOn w:val="103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6 Colorful - Accent 4"/>
    <w:basedOn w:val="103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st Table 6 Colorful - Accent 5"/>
    <w:basedOn w:val="103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6 Colorful - Accent 6"/>
    <w:basedOn w:val="103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st Table 7 Colorful"/>
    <w:basedOn w:val="103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4">
    <w:name w:val="List Table 7 Colorful - Accent 1"/>
    <w:basedOn w:val="103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45b8d"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945">
    <w:name w:val="List Table 7 Colorful - Accent 2"/>
    <w:basedOn w:val="103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946">
    <w:name w:val="List Table 7 Colorful - Accent 3"/>
    <w:basedOn w:val="103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67676"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947">
    <w:name w:val="List Table 7 Colorful - Accent 4"/>
    <w:basedOn w:val="103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948">
    <w:name w:val="List Table 7 Colorful - Accent 5"/>
    <w:basedOn w:val="103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5aa1"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949">
    <w:name w:val="List Table 7 Colorful - Accent 6"/>
    <w:basedOn w:val="103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e923c"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950">
    <w:name w:val="Lined - Accent"/>
    <w:basedOn w:val="103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ned - Accent 1"/>
    <w:basedOn w:val="103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ned - Accent 2"/>
    <w:basedOn w:val="103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ned - Accent 3"/>
    <w:basedOn w:val="103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Lined - Accent 4"/>
    <w:basedOn w:val="103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Lined - Accent 5"/>
    <w:basedOn w:val="103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Lined - Accent 6"/>
    <w:basedOn w:val="103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amp; Lined - Accent"/>
    <w:basedOn w:val="1031"/>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1"/>
    <w:basedOn w:val="1031"/>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amp; Lined - Accent 2"/>
    <w:basedOn w:val="1031"/>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amp; Lined - Accent 3"/>
    <w:basedOn w:val="1031"/>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amp; Lined - Accent 4"/>
    <w:basedOn w:val="1031"/>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amp; Lined - Accent 5"/>
    <w:basedOn w:val="1031"/>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amp; Lined - Accent 6"/>
    <w:basedOn w:val="1031"/>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w:basedOn w:val="103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 Accent 1"/>
    <w:basedOn w:val="103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 Accent 2"/>
    <w:basedOn w:val="103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 Accent 3"/>
    <w:basedOn w:val="103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 Accent 4"/>
    <w:basedOn w:val="103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Bordered - Accent 5"/>
    <w:basedOn w:val="103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Bordered - Accent 6"/>
    <w:basedOn w:val="103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71">
    <w:name w:val="Heading 1"/>
    <w:basedOn w:val="1030"/>
    <w:next w:val="1030"/>
    <w:link w:val="981"/>
    <w:uiPriority w:val="9"/>
    <w:qFormat/>
    <w:pPr>
      <w:keepNext w:val="true"/>
      <w:keepLines w:val="true"/>
      <w:pBdr/>
      <w:spacing w:after="80" w:before="360"/>
      <w:ind/>
      <w:outlineLvl w:val="0"/>
    </w:pPr>
    <w:rPr>
      <w:rFonts w:ascii="Funnel Display" w:hAnsi="Funnel Display" w:eastAsia="Funnel Display" w:cs="Funnel Display"/>
      <w:color w:val="352f66"/>
      <w:sz w:val="72"/>
      <w:szCs w:val="72"/>
    </w:rPr>
  </w:style>
  <w:style w:type="paragraph" w:styleId="972">
    <w:name w:val="Heading 2"/>
    <w:basedOn w:val="1030"/>
    <w:next w:val="1030"/>
    <w:link w:val="982"/>
    <w:uiPriority w:val="9"/>
    <w:unhideWhenUsed/>
    <w:qFormat/>
    <w:pPr>
      <w:keepNext w:val="true"/>
      <w:keepLines w:val="true"/>
      <w:pBdr/>
      <w:spacing w:after="80" w:before="160"/>
      <w:ind/>
      <w:outlineLvl w:val="1"/>
    </w:pPr>
    <w:rPr>
      <w:rFonts w:ascii="Funnel Display" w:hAnsi="Funnel Display" w:eastAsia="Funnel Display" w:cs="Funnel Display"/>
      <w:color w:val="352f66"/>
      <w:sz w:val="48"/>
      <w:szCs w:val="48"/>
    </w:rPr>
  </w:style>
  <w:style w:type="paragraph" w:styleId="973">
    <w:name w:val="Heading 3"/>
    <w:basedOn w:val="1030"/>
    <w:next w:val="1030"/>
    <w:link w:val="983"/>
    <w:uiPriority w:val="9"/>
    <w:unhideWhenUsed/>
    <w:qFormat/>
    <w:pPr>
      <w:keepNext w:val="true"/>
      <w:keepLines w:val="true"/>
      <w:pBdr/>
      <w:spacing w:after="80" w:before="160"/>
      <w:ind/>
      <w:outlineLvl w:val="2"/>
    </w:pPr>
    <w:rPr>
      <w:rFonts w:ascii="Funnel Display" w:hAnsi="Funnel Display" w:eastAsia="Funnel Display" w:cs="Funnel Display"/>
      <w:color w:val="352f66"/>
      <w:sz w:val="32"/>
      <w:szCs w:val="32"/>
    </w:rPr>
  </w:style>
  <w:style w:type="paragraph" w:styleId="974">
    <w:name w:val="Heading 4"/>
    <w:basedOn w:val="1030"/>
    <w:next w:val="1030"/>
    <w:link w:val="984"/>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975">
    <w:name w:val="Heading 5"/>
    <w:basedOn w:val="1030"/>
    <w:next w:val="1030"/>
    <w:link w:val="985"/>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76">
    <w:name w:val="Heading 6"/>
    <w:basedOn w:val="1030"/>
    <w:next w:val="1030"/>
    <w:link w:val="986"/>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7">
    <w:name w:val="Heading 7"/>
    <w:basedOn w:val="1030"/>
    <w:next w:val="1030"/>
    <w:link w:val="987"/>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8">
    <w:name w:val="Heading 8"/>
    <w:basedOn w:val="1030"/>
    <w:next w:val="1030"/>
    <w:link w:val="988"/>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9">
    <w:name w:val="Heading 9"/>
    <w:basedOn w:val="1030"/>
    <w:next w:val="1030"/>
    <w:link w:val="989"/>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80" w:default="1">
    <w:name w:val="Default Paragraph Font"/>
    <w:uiPriority w:val="1"/>
    <w:semiHidden/>
    <w:unhideWhenUsed/>
    <w:pPr>
      <w:pBdr/>
      <w:spacing/>
      <w:ind/>
    </w:pPr>
  </w:style>
  <w:style w:type="character" w:styleId="981">
    <w:name w:val="Heading 1 Char"/>
    <w:link w:val="971"/>
    <w:uiPriority w:val="9"/>
    <w:pPr>
      <w:pBdr/>
      <w:spacing/>
      <w:ind/>
    </w:pPr>
    <w:rPr>
      <w:rFonts w:ascii="Funnel Display" w:hAnsi="Funnel Display" w:eastAsia="Funnel Display" w:cs="Funnel Display"/>
      <w:color w:val="352f66"/>
      <w:sz w:val="72"/>
      <w:szCs w:val="72"/>
    </w:rPr>
  </w:style>
  <w:style w:type="character" w:styleId="982">
    <w:name w:val="Heading 2 Char"/>
    <w:link w:val="972"/>
    <w:uiPriority w:val="9"/>
    <w:pPr>
      <w:pBdr/>
      <w:spacing/>
      <w:ind/>
    </w:pPr>
    <w:rPr>
      <w:rFonts w:ascii="Funnel Display" w:hAnsi="Funnel Display" w:eastAsia="Funnel Display" w:cs="Funnel Display"/>
    </w:rPr>
  </w:style>
  <w:style w:type="character" w:styleId="983">
    <w:name w:val="Heading 3 Char"/>
    <w:link w:val="973"/>
    <w:uiPriority w:val="9"/>
    <w:pPr>
      <w:pBdr/>
      <w:spacing/>
      <w:ind/>
    </w:pPr>
    <w:rPr>
      <w:rFonts w:ascii="Funnel Display" w:hAnsi="Funnel Display" w:eastAsia="Funnel Display" w:cs="Funnel Display"/>
    </w:rPr>
  </w:style>
  <w:style w:type="character" w:styleId="984">
    <w:name w:val="Heading 4 Char"/>
    <w:basedOn w:val="980"/>
    <w:link w:val="974"/>
    <w:uiPriority w:val="9"/>
    <w:pPr>
      <w:pBdr/>
      <w:spacing/>
      <w:ind/>
    </w:pPr>
    <w:rPr>
      <w:rFonts w:ascii="Arial" w:hAnsi="Arial" w:eastAsia="Arial" w:cs="Arial"/>
      <w:i/>
      <w:iCs/>
      <w:color w:val="0f4761" w:themeColor="accent1" w:themeShade="BF"/>
    </w:rPr>
  </w:style>
  <w:style w:type="character" w:styleId="985">
    <w:name w:val="Heading 5 Char"/>
    <w:basedOn w:val="980"/>
    <w:link w:val="975"/>
    <w:uiPriority w:val="9"/>
    <w:pPr>
      <w:pBdr/>
      <w:spacing/>
      <w:ind/>
    </w:pPr>
    <w:rPr>
      <w:rFonts w:ascii="Arial" w:hAnsi="Arial" w:eastAsia="Arial" w:cs="Arial"/>
      <w:color w:val="0f4761" w:themeColor="accent1" w:themeShade="BF"/>
    </w:rPr>
  </w:style>
  <w:style w:type="character" w:styleId="986">
    <w:name w:val="Heading 6 Char"/>
    <w:basedOn w:val="980"/>
    <w:link w:val="976"/>
    <w:uiPriority w:val="9"/>
    <w:pPr>
      <w:pBdr/>
      <w:spacing/>
      <w:ind/>
    </w:pPr>
    <w:rPr>
      <w:rFonts w:ascii="Arial" w:hAnsi="Arial" w:eastAsia="Arial" w:cs="Arial"/>
      <w:i/>
      <w:iCs/>
      <w:color w:val="595959" w:themeColor="text1" w:themeTint="A6"/>
    </w:rPr>
  </w:style>
  <w:style w:type="character" w:styleId="987">
    <w:name w:val="Heading 7 Char"/>
    <w:basedOn w:val="980"/>
    <w:link w:val="977"/>
    <w:uiPriority w:val="9"/>
    <w:pPr>
      <w:pBdr/>
      <w:spacing/>
      <w:ind/>
    </w:pPr>
    <w:rPr>
      <w:rFonts w:ascii="Arial" w:hAnsi="Arial" w:eastAsia="Arial" w:cs="Arial"/>
      <w:color w:val="595959" w:themeColor="text1" w:themeTint="A6"/>
    </w:rPr>
  </w:style>
  <w:style w:type="character" w:styleId="988">
    <w:name w:val="Heading 8 Char"/>
    <w:basedOn w:val="980"/>
    <w:link w:val="978"/>
    <w:uiPriority w:val="9"/>
    <w:pPr>
      <w:pBdr/>
      <w:spacing/>
      <w:ind/>
    </w:pPr>
    <w:rPr>
      <w:rFonts w:ascii="Arial" w:hAnsi="Arial" w:eastAsia="Arial" w:cs="Arial"/>
      <w:i/>
      <w:iCs/>
      <w:color w:val="272727" w:themeColor="text1" w:themeTint="D8"/>
    </w:rPr>
  </w:style>
  <w:style w:type="character" w:styleId="989">
    <w:name w:val="Heading 9 Char"/>
    <w:basedOn w:val="980"/>
    <w:link w:val="979"/>
    <w:uiPriority w:val="9"/>
    <w:pPr>
      <w:pBdr/>
      <w:spacing/>
      <w:ind/>
    </w:pPr>
    <w:rPr>
      <w:rFonts w:ascii="Arial" w:hAnsi="Arial" w:eastAsia="Arial" w:cs="Arial"/>
      <w:i/>
      <w:iCs/>
      <w:color w:val="272727" w:themeColor="text1" w:themeTint="D8"/>
    </w:rPr>
  </w:style>
  <w:style w:type="paragraph" w:styleId="990">
    <w:name w:val="Title"/>
    <w:basedOn w:val="1030"/>
    <w:next w:val="1030"/>
    <w:link w:val="991"/>
    <w:uiPriority w:val="10"/>
    <w:qFormat/>
    <w:pPr>
      <w:pBdr/>
      <w:spacing w:after="80" w:line="240" w:lineRule="auto"/>
      <w:ind/>
      <w:contextualSpacing w:val="true"/>
    </w:pPr>
    <w:rPr>
      <w:rFonts w:ascii="Arial" w:hAnsi="Arial" w:eastAsia="Arial" w:cs="Arial"/>
      <w:spacing w:val="-10"/>
      <w:sz w:val="56"/>
      <w:szCs w:val="56"/>
    </w:rPr>
  </w:style>
  <w:style w:type="character" w:styleId="991">
    <w:name w:val="Title Char"/>
    <w:basedOn w:val="980"/>
    <w:link w:val="990"/>
    <w:uiPriority w:val="10"/>
    <w:pPr>
      <w:pBdr/>
      <w:spacing/>
      <w:ind/>
    </w:pPr>
    <w:rPr>
      <w:rFonts w:ascii="Arial" w:hAnsi="Arial" w:eastAsia="Arial" w:cs="Arial"/>
      <w:spacing w:val="-10"/>
      <w:sz w:val="56"/>
      <w:szCs w:val="56"/>
    </w:rPr>
  </w:style>
  <w:style w:type="paragraph" w:styleId="992">
    <w:name w:val="Subtitle"/>
    <w:basedOn w:val="1030"/>
    <w:next w:val="1030"/>
    <w:link w:val="993"/>
    <w:uiPriority w:val="11"/>
    <w:qFormat/>
    <w:pPr>
      <w:numPr>
        <w:ilvl w:val="1"/>
      </w:numPr>
      <w:pBdr/>
      <w:spacing/>
      <w:ind/>
    </w:pPr>
    <w:rPr>
      <w:color w:val="595959" w:themeColor="text1" w:themeTint="A6"/>
      <w:spacing w:val="15"/>
      <w:sz w:val="28"/>
      <w:szCs w:val="28"/>
    </w:rPr>
  </w:style>
  <w:style w:type="character" w:styleId="993">
    <w:name w:val="Subtitle Char"/>
    <w:basedOn w:val="980"/>
    <w:link w:val="992"/>
    <w:uiPriority w:val="11"/>
    <w:pPr>
      <w:pBdr/>
      <w:spacing/>
      <w:ind/>
    </w:pPr>
    <w:rPr>
      <w:color w:val="595959" w:themeColor="text1" w:themeTint="A6"/>
      <w:spacing w:val="15"/>
      <w:sz w:val="28"/>
      <w:szCs w:val="28"/>
    </w:rPr>
  </w:style>
  <w:style w:type="paragraph" w:styleId="994">
    <w:name w:val="Quote"/>
    <w:basedOn w:val="1030"/>
    <w:next w:val="1030"/>
    <w:link w:val="995"/>
    <w:uiPriority w:val="29"/>
    <w:qFormat/>
    <w:pPr>
      <w:pBdr/>
      <w:spacing w:before="160"/>
      <w:ind/>
      <w:jc w:val="center"/>
    </w:pPr>
    <w:rPr>
      <w:i/>
      <w:iCs/>
      <w:color w:val="404040" w:themeColor="text1" w:themeTint="BF"/>
    </w:rPr>
  </w:style>
  <w:style w:type="character" w:styleId="995">
    <w:name w:val="Quote Char"/>
    <w:basedOn w:val="980"/>
    <w:link w:val="994"/>
    <w:uiPriority w:val="29"/>
    <w:pPr>
      <w:pBdr/>
      <w:spacing/>
      <w:ind/>
    </w:pPr>
    <w:rPr>
      <w:i/>
      <w:iCs/>
      <w:color w:val="404040" w:themeColor="text1" w:themeTint="BF"/>
    </w:rPr>
  </w:style>
  <w:style w:type="character" w:styleId="996">
    <w:name w:val="Intense Emphasis"/>
    <w:basedOn w:val="980"/>
    <w:uiPriority w:val="21"/>
    <w:qFormat/>
    <w:pPr>
      <w:pBdr/>
      <w:spacing/>
      <w:ind/>
    </w:pPr>
    <w:rPr>
      <w:i/>
      <w:iCs/>
      <w:color w:val="0f4761" w:themeColor="accent1" w:themeShade="BF"/>
    </w:rPr>
  </w:style>
  <w:style w:type="paragraph" w:styleId="997">
    <w:name w:val="Intense Quote"/>
    <w:basedOn w:val="1030"/>
    <w:next w:val="1030"/>
    <w:link w:val="99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98">
    <w:name w:val="Intense Quote Char"/>
    <w:basedOn w:val="980"/>
    <w:link w:val="997"/>
    <w:uiPriority w:val="30"/>
    <w:pPr>
      <w:pBdr/>
      <w:spacing/>
      <w:ind/>
    </w:pPr>
    <w:rPr>
      <w:i/>
      <w:iCs/>
      <w:color w:val="0f4761" w:themeColor="accent1" w:themeShade="BF"/>
    </w:rPr>
  </w:style>
  <w:style w:type="character" w:styleId="999">
    <w:name w:val="Intense Reference"/>
    <w:basedOn w:val="980"/>
    <w:uiPriority w:val="32"/>
    <w:qFormat/>
    <w:pPr>
      <w:pBdr/>
      <w:spacing/>
      <w:ind/>
    </w:pPr>
    <w:rPr>
      <w:b/>
      <w:bCs/>
      <w:smallCaps/>
      <w:color w:val="0f4761" w:themeColor="accent1" w:themeShade="BF"/>
      <w:spacing w:val="5"/>
    </w:rPr>
  </w:style>
  <w:style w:type="character" w:styleId="1000">
    <w:name w:val="Subtle Emphasis"/>
    <w:basedOn w:val="980"/>
    <w:uiPriority w:val="19"/>
    <w:qFormat/>
    <w:pPr>
      <w:pBdr/>
      <w:spacing/>
      <w:ind/>
    </w:pPr>
    <w:rPr>
      <w:i/>
      <w:iCs/>
      <w:color w:val="404040" w:themeColor="text1" w:themeTint="BF"/>
    </w:rPr>
  </w:style>
  <w:style w:type="character" w:styleId="1001">
    <w:name w:val="Emphasis"/>
    <w:basedOn w:val="980"/>
    <w:uiPriority w:val="20"/>
    <w:qFormat/>
    <w:pPr>
      <w:pBdr/>
      <w:spacing/>
      <w:ind/>
    </w:pPr>
    <w:rPr>
      <w:i/>
      <w:iCs/>
    </w:rPr>
  </w:style>
  <w:style w:type="character" w:styleId="1002">
    <w:name w:val="Strong"/>
    <w:basedOn w:val="980"/>
    <w:uiPriority w:val="22"/>
    <w:qFormat/>
    <w:pPr>
      <w:pBdr/>
      <w:spacing/>
      <w:ind/>
    </w:pPr>
    <w:rPr>
      <w:b/>
      <w:bCs/>
    </w:rPr>
  </w:style>
  <w:style w:type="character" w:styleId="1003">
    <w:name w:val="Subtle Reference"/>
    <w:basedOn w:val="980"/>
    <w:uiPriority w:val="31"/>
    <w:qFormat/>
    <w:pPr>
      <w:pBdr/>
      <w:spacing/>
      <w:ind/>
    </w:pPr>
    <w:rPr>
      <w:smallCaps/>
      <w:color w:val="5a5a5a" w:themeColor="text1" w:themeTint="A5"/>
    </w:rPr>
  </w:style>
  <w:style w:type="character" w:styleId="1004">
    <w:name w:val="Book Title"/>
    <w:basedOn w:val="980"/>
    <w:uiPriority w:val="33"/>
    <w:qFormat/>
    <w:pPr>
      <w:pBdr/>
      <w:spacing/>
      <w:ind/>
    </w:pPr>
    <w:rPr>
      <w:b/>
      <w:bCs/>
      <w:i/>
      <w:iCs/>
      <w:spacing w:val="5"/>
    </w:rPr>
  </w:style>
  <w:style w:type="paragraph" w:styleId="1005">
    <w:name w:val="Header"/>
    <w:basedOn w:val="1030"/>
    <w:link w:val="1006"/>
    <w:uiPriority w:val="99"/>
    <w:unhideWhenUsed/>
    <w:pPr>
      <w:pBdr/>
      <w:tabs>
        <w:tab w:val="center" w:leader="none" w:pos="4844"/>
        <w:tab w:val="right" w:leader="none" w:pos="9689"/>
      </w:tabs>
      <w:spacing w:after="0" w:line="240" w:lineRule="auto"/>
      <w:ind/>
    </w:pPr>
  </w:style>
  <w:style w:type="character" w:styleId="1006">
    <w:name w:val="Header Char"/>
    <w:basedOn w:val="980"/>
    <w:link w:val="1005"/>
    <w:uiPriority w:val="99"/>
    <w:pPr>
      <w:pBdr/>
      <w:spacing/>
      <w:ind/>
    </w:pPr>
  </w:style>
  <w:style w:type="paragraph" w:styleId="1007">
    <w:name w:val="Footer"/>
    <w:basedOn w:val="1030"/>
    <w:link w:val="1008"/>
    <w:uiPriority w:val="99"/>
    <w:unhideWhenUsed/>
    <w:pPr>
      <w:pBdr/>
      <w:tabs>
        <w:tab w:val="center" w:leader="none" w:pos="4844"/>
        <w:tab w:val="right" w:leader="none" w:pos="9689"/>
      </w:tabs>
      <w:spacing w:after="0" w:line="240" w:lineRule="auto"/>
      <w:ind/>
    </w:pPr>
  </w:style>
  <w:style w:type="character" w:styleId="1008">
    <w:name w:val="Footer Char"/>
    <w:basedOn w:val="980"/>
    <w:link w:val="1007"/>
    <w:uiPriority w:val="99"/>
    <w:pPr>
      <w:pBdr/>
      <w:spacing/>
      <w:ind/>
    </w:pPr>
  </w:style>
  <w:style w:type="paragraph" w:styleId="1009">
    <w:name w:val="Caption"/>
    <w:basedOn w:val="1030"/>
    <w:next w:val="1030"/>
    <w:uiPriority w:val="35"/>
    <w:unhideWhenUsed/>
    <w:qFormat/>
    <w:pPr>
      <w:pBdr/>
      <w:spacing w:after="200" w:line="240" w:lineRule="auto"/>
      <w:ind/>
    </w:pPr>
    <w:rPr>
      <w:i/>
      <w:iCs/>
      <w:color w:val="0e2841" w:themeColor="text2"/>
      <w:sz w:val="18"/>
      <w:szCs w:val="18"/>
    </w:rPr>
  </w:style>
  <w:style w:type="paragraph" w:styleId="1010">
    <w:name w:val="footnote text"/>
    <w:basedOn w:val="1030"/>
    <w:link w:val="1011"/>
    <w:uiPriority w:val="99"/>
    <w:semiHidden/>
    <w:unhideWhenUsed/>
    <w:pPr>
      <w:pBdr/>
      <w:spacing w:after="0" w:line="240" w:lineRule="auto"/>
      <w:ind/>
    </w:pPr>
    <w:rPr>
      <w:sz w:val="20"/>
      <w:szCs w:val="20"/>
    </w:rPr>
  </w:style>
  <w:style w:type="character" w:styleId="1011">
    <w:name w:val="Footnote Text Char"/>
    <w:basedOn w:val="980"/>
    <w:link w:val="1010"/>
    <w:uiPriority w:val="99"/>
    <w:semiHidden/>
    <w:pPr>
      <w:pBdr/>
      <w:spacing/>
      <w:ind/>
    </w:pPr>
    <w:rPr>
      <w:sz w:val="20"/>
      <w:szCs w:val="20"/>
    </w:rPr>
  </w:style>
  <w:style w:type="character" w:styleId="1012">
    <w:name w:val="footnote reference"/>
    <w:basedOn w:val="980"/>
    <w:uiPriority w:val="99"/>
    <w:semiHidden/>
    <w:unhideWhenUsed/>
    <w:pPr>
      <w:pBdr/>
      <w:spacing/>
      <w:ind/>
    </w:pPr>
    <w:rPr>
      <w:vertAlign w:val="superscript"/>
    </w:rPr>
  </w:style>
  <w:style w:type="paragraph" w:styleId="1013">
    <w:name w:val="endnote text"/>
    <w:basedOn w:val="1030"/>
    <w:link w:val="1014"/>
    <w:uiPriority w:val="99"/>
    <w:semiHidden/>
    <w:unhideWhenUsed/>
    <w:pPr>
      <w:pBdr/>
      <w:spacing w:after="0" w:line="240" w:lineRule="auto"/>
      <w:ind/>
    </w:pPr>
    <w:rPr>
      <w:sz w:val="20"/>
      <w:szCs w:val="20"/>
    </w:rPr>
  </w:style>
  <w:style w:type="character" w:styleId="1014">
    <w:name w:val="Endnote Text Char"/>
    <w:basedOn w:val="980"/>
    <w:link w:val="1013"/>
    <w:uiPriority w:val="99"/>
    <w:semiHidden/>
    <w:pPr>
      <w:pBdr/>
      <w:spacing/>
      <w:ind/>
    </w:pPr>
    <w:rPr>
      <w:sz w:val="20"/>
      <w:szCs w:val="20"/>
    </w:rPr>
  </w:style>
  <w:style w:type="character" w:styleId="1015">
    <w:name w:val="endnote reference"/>
    <w:basedOn w:val="980"/>
    <w:uiPriority w:val="99"/>
    <w:semiHidden/>
    <w:unhideWhenUsed/>
    <w:pPr>
      <w:pBdr/>
      <w:spacing/>
      <w:ind/>
    </w:pPr>
    <w:rPr>
      <w:vertAlign w:val="superscript"/>
    </w:rPr>
  </w:style>
  <w:style w:type="character" w:styleId="1016">
    <w:name w:val="Hyperlink"/>
    <w:basedOn w:val="980"/>
    <w:uiPriority w:val="99"/>
    <w:unhideWhenUsed/>
    <w:pPr>
      <w:pBdr/>
      <w:spacing/>
      <w:ind/>
    </w:pPr>
    <w:rPr>
      <w:color w:val="0563c1" w:themeColor="hyperlink"/>
      <w:u w:val="single"/>
    </w:rPr>
  </w:style>
  <w:style w:type="character" w:styleId="1017">
    <w:name w:val="FollowedHyperlink"/>
    <w:basedOn w:val="980"/>
    <w:uiPriority w:val="99"/>
    <w:semiHidden/>
    <w:unhideWhenUsed/>
    <w:pPr>
      <w:pBdr/>
      <w:spacing/>
      <w:ind/>
    </w:pPr>
    <w:rPr>
      <w:color w:val="954f72" w:themeColor="followedHyperlink"/>
      <w:u w:val="single"/>
    </w:rPr>
  </w:style>
  <w:style w:type="paragraph" w:styleId="1018">
    <w:name w:val="toc 1"/>
    <w:basedOn w:val="1030"/>
    <w:next w:val="1030"/>
    <w:uiPriority w:val="39"/>
    <w:unhideWhenUsed/>
    <w:pPr>
      <w:pBdr/>
      <w:spacing w:after="100"/>
      <w:ind/>
    </w:pPr>
  </w:style>
  <w:style w:type="paragraph" w:styleId="1019">
    <w:name w:val="toc 2"/>
    <w:basedOn w:val="1030"/>
    <w:next w:val="1030"/>
    <w:uiPriority w:val="39"/>
    <w:unhideWhenUsed/>
    <w:pPr>
      <w:pBdr/>
      <w:spacing w:after="100"/>
      <w:ind w:left="220"/>
    </w:pPr>
  </w:style>
  <w:style w:type="paragraph" w:styleId="1020">
    <w:name w:val="toc 3"/>
    <w:basedOn w:val="1030"/>
    <w:next w:val="1030"/>
    <w:uiPriority w:val="39"/>
    <w:unhideWhenUsed/>
    <w:pPr>
      <w:pBdr/>
      <w:spacing w:after="100"/>
      <w:ind w:left="440"/>
    </w:pPr>
  </w:style>
  <w:style w:type="paragraph" w:styleId="1021">
    <w:name w:val="toc 4"/>
    <w:basedOn w:val="1030"/>
    <w:next w:val="1030"/>
    <w:uiPriority w:val="39"/>
    <w:unhideWhenUsed/>
    <w:pPr>
      <w:pBdr/>
      <w:spacing w:after="100"/>
      <w:ind w:left="660"/>
    </w:pPr>
  </w:style>
  <w:style w:type="paragraph" w:styleId="1022">
    <w:name w:val="toc 5"/>
    <w:basedOn w:val="1030"/>
    <w:next w:val="1030"/>
    <w:uiPriority w:val="39"/>
    <w:unhideWhenUsed/>
    <w:pPr>
      <w:pBdr/>
      <w:spacing w:after="100"/>
      <w:ind w:left="880"/>
    </w:pPr>
  </w:style>
  <w:style w:type="paragraph" w:styleId="1023">
    <w:name w:val="toc 6"/>
    <w:basedOn w:val="1030"/>
    <w:next w:val="1030"/>
    <w:uiPriority w:val="39"/>
    <w:unhideWhenUsed/>
    <w:pPr>
      <w:pBdr/>
      <w:spacing w:after="100"/>
      <w:ind w:left="1100"/>
    </w:pPr>
  </w:style>
  <w:style w:type="paragraph" w:styleId="1024">
    <w:name w:val="toc 7"/>
    <w:basedOn w:val="1030"/>
    <w:next w:val="1030"/>
    <w:uiPriority w:val="39"/>
    <w:unhideWhenUsed/>
    <w:pPr>
      <w:pBdr/>
      <w:spacing w:after="100"/>
      <w:ind w:left="1320"/>
    </w:pPr>
  </w:style>
  <w:style w:type="paragraph" w:styleId="1025">
    <w:name w:val="toc 8"/>
    <w:basedOn w:val="1030"/>
    <w:next w:val="1030"/>
    <w:uiPriority w:val="39"/>
    <w:unhideWhenUsed/>
    <w:pPr>
      <w:pBdr/>
      <w:spacing w:after="100"/>
      <w:ind w:left="1540"/>
    </w:pPr>
  </w:style>
  <w:style w:type="paragraph" w:styleId="1026">
    <w:name w:val="toc 9"/>
    <w:basedOn w:val="1030"/>
    <w:next w:val="1030"/>
    <w:uiPriority w:val="39"/>
    <w:unhideWhenUsed/>
    <w:pPr>
      <w:pBdr/>
      <w:spacing w:after="100"/>
      <w:ind w:left="1760"/>
    </w:pPr>
  </w:style>
  <w:style w:type="character" w:styleId="1027">
    <w:name w:val="Placeholder Text"/>
    <w:basedOn w:val="980"/>
    <w:uiPriority w:val="99"/>
    <w:semiHidden/>
    <w:pPr>
      <w:pBdr/>
      <w:spacing/>
      <w:ind/>
    </w:pPr>
    <w:rPr>
      <w:color w:val="666666"/>
    </w:rPr>
  </w:style>
  <w:style w:type="paragraph" w:styleId="1028">
    <w:name w:val="TOC Heading"/>
    <w:uiPriority w:val="39"/>
    <w:unhideWhenUsed/>
    <w:pPr>
      <w:pBdr/>
      <w:spacing/>
      <w:ind/>
    </w:pPr>
  </w:style>
  <w:style w:type="paragraph" w:styleId="1029">
    <w:name w:val="table of figures"/>
    <w:basedOn w:val="1030"/>
    <w:next w:val="1030"/>
    <w:uiPriority w:val="99"/>
    <w:unhideWhenUsed/>
    <w:pPr>
      <w:pBdr/>
      <w:spacing w:after="0" w:afterAutospacing="0"/>
      <w:ind/>
    </w:pPr>
  </w:style>
  <w:style w:type="paragraph" w:styleId="1030" w:default="1">
    <w:name w:val="Normal"/>
    <w:qFormat/>
    <w:pPr>
      <w:pBdr/>
      <w:spacing/>
      <w:ind/>
    </w:pPr>
    <w:rPr>
      <w:rFonts w:ascii="Funnel Display" w:hAnsi="Funnel Display" w:eastAsia="Funnel Display" w:cs="Funnel Display"/>
      <w:sz w:val="24"/>
      <w:szCs w:val="24"/>
    </w:rPr>
  </w:style>
  <w:style w:type="table" w:styleId="103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32" w:default="1">
    <w:name w:val="No List"/>
    <w:uiPriority w:val="99"/>
    <w:semiHidden/>
    <w:unhideWhenUsed/>
    <w:pPr>
      <w:pBdr/>
      <w:spacing/>
      <w:ind/>
    </w:pPr>
  </w:style>
  <w:style w:type="paragraph" w:styleId="1033">
    <w:name w:val="No Spacing"/>
    <w:basedOn w:val="1030"/>
    <w:uiPriority w:val="1"/>
    <w:qFormat/>
    <w:pPr>
      <w:pBdr/>
      <w:spacing w:after="0" w:line="240" w:lineRule="auto"/>
      <w:ind/>
    </w:pPr>
  </w:style>
  <w:style w:type="paragraph" w:styleId="1034">
    <w:name w:val="List Paragraph"/>
    <w:basedOn w:val="1030"/>
    <w:uiPriority w:val="34"/>
    <w:qFormat/>
    <w:pPr>
      <w:pBdr/>
      <w:spacing/>
      <w:ind w:left="720"/>
      <w:contextualSpacing w:val="true"/>
    </w:pPr>
  </w:style>
  <w:style w:type="paragraph" w:styleId="1035" w:customStyle="1">
    <w:name w:val="Source Code"/>
    <w:pPr>
      <w:pBdr/>
      <w:spacing/>
      <w:ind/>
    </w:pPr>
  </w:style>
  <w:style w:type="character" w:styleId="1036" w:customStyle="1">
    <w:name w:val="KeywordTok"/>
    <w:pPr>
      <w:pBdr/>
      <w:spacing/>
      <w:ind/>
    </w:pPr>
    <w:rPr>
      <w:b/>
      <w:color w:val="007020"/>
    </w:rPr>
  </w:style>
  <w:style w:type="character" w:styleId="1037" w:customStyle="1">
    <w:name w:val="DataTypeTok"/>
    <w:pPr>
      <w:pBdr/>
      <w:spacing/>
      <w:ind/>
    </w:pPr>
    <w:rPr>
      <w:color w:val="902000"/>
    </w:rPr>
  </w:style>
  <w:style w:type="character" w:styleId="1038" w:customStyle="1">
    <w:name w:val="DecValTok"/>
    <w:pPr>
      <w:pBdr/>
      <w:spacing/>
      <w:ind/>
    </w:pPr>
    <w:rPr>
      <w:color w:val="40a070"/>
    </w:rPr>
  </w:style>
  <w:style w:type="character" w:styleId="1039" w:customStyle="1">
    <w:name w:val="BaseNTok"/>
    <w:pPr>
      <w:pBdr/>
      <w:spacing/>
      <w:ind/>
    </w:pPr>
    <w:rPr>
      <w:color w:val="40a070"/>
    </w:rPr>
  </w:style>
  <w:style w:type="character" w:styleId="1040" w:customStyle="1">
    <w:name w:val="FloatTok"/>
    <w:pPr>
      <w:pBdr/>
      <w:spacing/>
      <w:ind/>
    </w:pPr>
    <w:rPr>
      <w:color w:val="40a070"/>
    </w:rPr>
  </w:style>
  <w:style w:type="character" w:styleId="1041" w:customStyle="1">
    <w:name w:val="ConstantTok"/>
    <w:pPr>
      <w:pBdr/>
      <w:spacing/>
      <w:ind/>
    </w:pPr>
    <w:rPr>
      <w:color w:val="880000"/>
    </w:rPr>
  </w:style>
  <w:style w:type="character" w:styleId="1042" w:customStyle="1">
    <w:name w:val="CharTok"/>
    <w:pPr>
      <w:pBdr/>
      <w:spacing/>
      <w:ind/>
    </w:pPr>
    <w:rPr>
      <w:color w:val="4070a0"/>
    </w:rPr>
  </w:style>
  <w:style w:type="character" w:styleId="1043" w:customStyle="1">
    <w:name w:val="SpecialCharTok"/>
    <w:pPr>
      <w:pBdr/>
      <w:spacing/>
      <w:ind/>
    </w:pPr>
    <w:rPr>
      <w:color w:val="4070a0"/>
    </w:rPr>
  </w:style>
  <w:style w:type="character" w:styleId="1044" w:customStyle="1">
    <w:name w:val="StringTok"/>
    <w:pPr>
      <w:pBdr/>
      <w:spacing/>
      <w:ind/>
    </w:pPr>
    <w:rPr>
      <w:color w:val="4070a0"/>
    </w:rPr>
  </w:style>
  <w:style w:type="character" w:styleId="1045" w:customStyle="1">
    <w:name w:val="VerbatimStringTok"/>
    <w:pPr>
      <w:pBdr/>
      <w:spacing/>
      <w:ind/>
    </w:pPr>
    <w:rPr>
      <w:color w:val="4070a0"/>
    </w:rPr>
  </w:style>
  <w:style w:type="character" w:styleId="1046" w:customStyle="1">
    <w:name w:val="SpecialStringTok"/>
    <w:pPr>
      <w:pBdr/>
      <w:spacing/>
      <w:ind/>
    </w:pPr>
    <w:rPr>
      <w:color w:val="bb6688"/>
    </w:rPr>
  </w:style>
  <w:style w:type="character" w:styleId="1047" w:customStyle="1">
    <w:name w:val="ImportTok"/>
    <w:pPr>
      <w:pBdr/>
      <w:spacing/>
      <w:ind/>
    </w:pPr>
    <w:rPr>
      <w:b/>
      <w:color w:val="008000"/>
    </w:rPr>
  </w:style>
  <w:style w:type="character" w:styleId="1048" w:customStyle="1">
    <w:name w:val="CommentTok"/>
    <w:pPr>
      <w:pBdr/>
      <w:spacing/>
      <w:ind/>
    </w:pPr>
    <w:rPr>
      <w:i/>
      <w:color w:val="60a0b0"/>
    </w:rPr>
  </w:style>
  <w:style w:type="character" w:styleId="1049" w:customStyle="1">
    <w:name w:val="DocumentationTok"/>
    <w:pPr>
      <w:pBdr/>
      <w:spacing/>
      <w:ind/>
    </w:pPr>
    <w:rPr>
      <w:i/>
      <w:color w:val="ba2121"/>
    </w:rPr>
  </w:style>
  <w:style w:type="character" w:styleId="1050" w:customStyle="1">
    <w:name w:val="AnnotationTok"/>
    <w:pPr>
      <w:pBdr/>
      <w:spacing/>
      <w:ind/>
    </w:pPr>
    <w:rPr>
      <w:b/>
      <w:i/>
      <w:color w:val="60a0b0"/>
    </w:rPr>
  </w:style>
  <w:style w:type="character" w:styleId="1051" w:customStyle="1">
    <w:name w:val="CommentVarTok"/>
    <w:pPr>
      <w:pBdr/>
      <w:spacing/>
      <w:ind/>
    </w:pPr>
    <w:rPr>
      <w:b/>
      <w:i/>
      <w:color w:val="60a0b0"/>
    </w:rPr>
  </w:style>
  <w:style w:type="character" w:styleId="1052" w:customStyle="1">
    <w:name w:val="OtherTok"/>
    <w:pPr>
      <w:pBdr/>
      <w:spacing/>
      <w:ind/>
    </w:pPr>
    <w:rPr>
      <w:color w:val="007020"/>
    </w:rPr>
  </w:style>
  <w:style w:type="character" w:styleId="1053" w:customStyle="1">
    <w:name w:val="FunctionTok"/>
    <w:pPr>
      <w:pBdr/>
      <w:spacing/>
      <w:ind/>
    </w:pPr>
    <w:rPr>
      <w:color w:val="06287e"/>
    </w:rPr>
  </w:style>
  <w:style w:type="character" w:styleId="1054" w:customStyle="1">
    <w:name w:val="VariableTok"/>
    <w:pPr>
      <w:pBdr/>
      <w:spacing/>
      <w:ind/>
    </w:pPr>
    <w:rPr>
      <w:color w:val="19177c"/>
    </w:rPr>
  </w:style>
  <w:style w:type="character" w:styleId="1055" w:customStyle="1">
    <w:name w:val="ControlFlowTok"/>
    <w:pPr>
      <w:pBdr/>
      <w:spacing/>
      <w:ind/>
    </w:pPr>
    <w:rPr>
      <w:b/>
      <w:color w:val="007020"/>
    </w:rPr>
  </w:style>
  <w:style w:type="character" w:styleId="1056" w:customStyle="1">
    <w:name w:val="OperatorTok"/>
    <w:pPr>
      <w:pBdr/>
      <w:spacing/>
      <w:ind/>
    </w:pPr>
    <w:rPr>
      <w:color w:val="666666"/>
    </w:rPr>
  </w:style>
  <w:style w:type="character" w:styleId="1057" w:customStyle="1">
    <w:name w:val="BuiltInTok"/>
    <w:pPr>
      <w:pBdr/>
      <w:spacing/>
      <w:ind/>
    </w:pPr>
    <w:rPr>
      <w:color w:val="008000"/>
    </w:rPr>
  </w:style>
  <w:style w:type="character" w:styleId="1058" w:customStyle="1">
    <w:name w:val="ExtensionTok"/>
    <w:pPr>
      <w:pBdr/>
      <w:spacing/>
      <w:ind/>
    </w:pPr>
  </w:style>
  <w:style w:type="character" w:styleId="1059" w:customStyle="1">
    <w:name w:val="PreprocessorTok"/>
    <w:pPr>
      <w:pBdr/>
      <w:spacing/>
      <w:ind/>
    </w:pPr>
    <w:rPr>
      <w:color w:val="bc7a00"/>
    </w:rPr>
  </w:style>
  <w:style w:type="character" w:styleId="1060" w:customStyle="1">
    <w:name w:val="AttributeTok"/>
    <w:pPr>
      <w:pBdr/>
      <w:spacing/>
      <w:ind/>
    </w:pPr>
    <w:rPr>
      <w:color w:val="7d9029"/>
    </w:rPr>
  </w:style>
  <w:style w:type="character" w:styleId="1061" w:customStyle="1">
    <w:name w:val="RegionMarkerTok"/>
    <w:pPr>
      <w:pBdr/>
      <w:spacing/>
      <w:ind/>
    </w:pPr>
  </w:style>
  <w:style w:type="character" w:styleId="1062" w:customStyle="1">
    <w:name w:val="InformationTok"/>
    <w:pPr>
      <w:pBdr/>
      <w:spacing/>
      <w:ind/>
    </w:pPr>
    <w:rPr>
      <w:b/>
      <w:i/>
      <w:color w:val="60a0b0"/>
    </w:rPr>
  </w:style>
  <w:style w:type="character" w:styleId="1063" w:customStyle="1">
    <w:name w:val="WarningTok"/>
    <w:pPr>
      <w:pBdr/>
      <w:spacing/>
      <w:ind/>
    </w:pPr>
    <w:rPr>
      <w:b/>
      <w:i/>
      <w:color w:val="60a0b0"/>
    </w:rPr>
  </w:style>
  <w:style w:type="character" w:styleId="1064" w:customStyle="1">
    <w:name w:val="AlertTok"/>
    <w:pPr>
      <w:pBdr/>
      <w:spacing/>
      <w:ind/>
    </w:pPr>
    <w:rPr>
      <w:b/>
      <w:color w:val="ff0000"/>
    </w:rPr>
  </w:style>
  <w:style w:type="character" w:styleId="1065" w:customStyle="1">
    <w:name w:val="ErrorTok"/>
    <w:pPr>
      <w:pBdr/>
      <w:spacing/>
      <w:ind/>
    </w:pPr>
    <w:rPr>
      <w:b/>
      <w:color w:val="ff0000"/>
    </w:rPr>
  </w:style>
  <w:style w:type="character" w:styleId="1066" w:customStyle="1">
    <w:name w:val="NormalTok"/>
    <w:pPr>
      <w:pBdr/>
      <w:spacing/>
      <w:ind/>
    </w:p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media1.sv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Application>ONLYOFFICE/9.3.1.8</Application>
  <DocSecurity>0</DocSecurity>
  <ScaleCrop>0</ScaleCrop>
  <HeadingPairs>
    <vt:vector size="0" baseType="variant"/>
  </HeadingPairs>
  <TitlesOfParts>
    <vt:vector size="0" baseType="lpstr"/>
  </TitlesOfParts>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DPA</dc:title>
  <dc:creator>ARDNTECH</dc:creator>
  <cp:keywords/>
  <cp:revision>2</cp:revision>
  <dcterms:created xsi:type="dcterms:W3CDTF">2026-05-19T20:01:14Z</dcterms:created>
  <dcterms:modified xsi:type="dcterms:W3CDTF">2026-05-20T04:02:17Z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Data Processing Agreement | Accord de traitement de données conforme RGPD</vt:lpwstr>
  </property>
</Properties>
</file>